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4C519CCF" w14:textId="77777777" w:rsidR="000577A7" w:rsidRDefault="00C35D8A" w:rsidP="00FC3177">
      <w:pPr>
        <w:pStyle w:val="Heading1"/>
      </w:pPr>
      <w:bookmarkStart w:id="0" w:name="_Toc464646068"/>
      <w:r>
        <w:rPr>
          <w:noProof/>
          <w:lang w:eastAsia="en-GB"/>
        </w:rPr>
        <w:drawing>
          <wp:anchor distT="0" distB="0" distL="114300" distR="114300" simplePos="0" relativeHeight="251658240" behindDoc="0" locked="0" layoutInCell="1" allowOverlap="1" wp14:anchorId="735AC0EA" wp14:editId="37DA532A">
            <wp:simplePos x="0" y="0"/>
            <wp:positionH relativeFrom="column">
              <wp:posOffset>2838450</wp:posOffset>
            </wp:positionH>
            <wp:positionV relativeFrom="paragraph">
              <wp:posOffset>-647700</wp:posOffset>
            </wp:positionV>
            <wp:extent cx="3266440" cy="494030"/>
            <wp:effectExtent l="0" t="0" r="0" b="1270"/>
            <wp:wrapNone/>
            <wp:docPr id="1" name="Picture 1" title="TL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3266440" cy="494030"/>
                    </a:xfrm>
                    <a:prstGeom prst="rect">
                      <a:avLst/>
                    </a:prstGeom>
                  </pic:spPr>
                </pic:pic>
              </a:graphicData>
            </a:graphic>
          </wp:anchor>
        </w:drawing>
      </w:r>
      <w:r w:rsidR="00FC3177">
        <w:t xml:space="preserve">Appendix D.1 </w:t>
      </w:r>
      <w:r w:rsidR="000577A7">
        <w:t>Revalidation Process</w:t>
      </w:r>
      <w:bookmarkEnd w:id="0"/>
    </w:p>
    <w:p w14:paraId="71F97DA0" w14:textId="77777777" w:rsidR="000577A7" w:rsidRDefault="000577A7" w:rsidP="00FC3177">
      <w:pPr>
        <w:pStyle w:val="Heading2"/>
        <w:spacing w:before="120" w:after="120"/>
      </w:pPr>
      <w:r>
        <w:t>1.</w:t>
      </w:r>
      <w:r>
        <w:tab/>
        <w:t>Revalidation submission</w:t>
      </w:r>
    </w:p>
    <w:p w14:paraId="0B554775" w14:textId="48D56AF1" w:rsidR="000577A7" w:rsidRPr="0096403C" w:rsidRDefault="000577A7" w:rsidP="000577A7">
      <w:pPr>
        <w:pStyle w:val="BodyText"/>
        <w:ind w:left="709" w:hanging="709"/>
        <w:rPr>
          <w:sz w:val="22"/>
        </w:rPr>
      </w:pPr>
      <w:r w:rsidRPr="0096403C">
        <w:rPr>
          <w:bCs/>
          <w:sz w:val="22"/>
        </w:rPr>
        <w:t>1.1</w:t>
      </w:r>
      <w:r w:rsidRPr="0096403C">
        <w:rPr>
          <w:bCs/>
          <w:i/>
          <w:sz w:val="22"/>
        </w:rPr>
        <w:tab/>
      </w:r>
      <w:r w:rsidRPr="0096403C">
        <w:rPr>
          <w:sz w:val="22"/>
        </w:rPr>
        <w:t xml:space="preserve">The main submission will follow the standard template, with an up-to-date version of the programme </w:t>
      </w:r>
      <w:r w:rsidR="00FC3177" w:rsidRPr="0096403C">
        <w:rPr>
          <w:sz w:val="22"/>
        </w:rPr>
        <w:t xml:space="preserve">specification </w:t>
      </w:r>
      <w:r w:rsidRPr="0096403C">
        <w:rPr>
          <w:sz w:val="22"/>
        </w:rPr>
        <w:t xml:space="preserve">and </w:t>
      </w:r>
      <w:r w:rsidR="00FC3177" w:rsidRPr="0096403C">
        <w:rPr>
          <w:sz w:val="22"/>
        </w:rPr>
        <w:t>module specifications</w:t>
      </w:r>
      <w:r w:rsidRPr="0096403C">
        <w:rPr>
          <w:sz w:val="22"/>
        </w:rPr>
        <w:t>. The submission document provides an opportunity for self-evaluation, demonstrating how the programme team has reflected on the development of the programme during the previous period of validation. It is important that the report is evaluative as opposed to descriptive, providing context for any changes that have occurred or that are envisaged.</w:t>
      </w:r>
    </w:p>
    <w:p w14:paraId="61A30F5F" w14:textId="77777777" w:rsidR="000577A7" w:rsidRPr="0096403C" w:rsidRDefault="000577A7" w:rsidP="000577A7">
      <w:pPr>
        <w:pStyle w:val="BodyText"/>
        <w:ind w:left="720"/>
        <w:rPr>
          <w:sz w:val="22"/>
        </w:rPr>
      </w:pPr>
      <w:r w:rsidRPr="0096403C">
        <w:rPr>
          <w:sz w:val="22"/>
        </w:rPr>
        <w:t>Where any programme amendments are proposed as part of the revalidation process, they should be included and highlighted for the Panel’s attention.</w:t>
      </w:r>
    </w:p>
    <w:p w14:paraId="47918E5F" w14:textId="2D750B2B" w:rsidR="000577A7" w:rsidRPr="0096403C" w:rsidRDefault="000577A7" w:rsidP="000577A7">
      <w:pPr>
        <w:pStyle w:val="BodyText"/>
        <w:ind w:left="720" w:hanging="720"/>
        <w:rPr>
          <w:color w:val="FF0000"/>
          <w:sz w:val="22"/>
        </w:rPr>
      </w:pPr>
      <w:r w:rsidRPr="0096403C">
        <w:rPr>
          <w:sz w:val="22"/>
        </w:rPr>
        <w:t>1.2.1</w:t>
      </w:r>
      <w:r w:rsidRPr="0096403C">
        <w:rPr>
          <w:sz w:val="22"/>
        </w:rPr>
        <w:tab/>
      </w:r>
      <w:r w:rsidRPr="0096403C">
        <w:rPr>
          <w:color w:val="auto"/>
          <w:sz w:val="22"/>
        </w:rPr>
        <w:t xml:space="preserve">The report will be informed by Annual Programme Evaluations, how issues have been addressed arising from previous validations/revalidations, the market for the programme, changes in staffing or senior management within the faculty, </w:t>
      </w:r>
      <w:r w:rsidR="00FC3177" w:rsidRPr="0096403C">
        <w:rPr>
          <w:color w:val="auto"/>
          <w:sz w:val="22"/>
        </w:rPr>
        <w:t>alignment with</w:t>
      </w:r>
      <w:r w:rsidRPr="0096403C">
        <w:rPr>
          <w:color w:val="auto"/>
          <w:sz w:val="22"/>
        </w:rPr>
        <w:t xml:space="preserve"> the Institution’s </w:t>
      </w:r>
      <w:r w:rsidR="00FC3177" w:rsidRPr="0096403C">
        <w:rPr>
          <w:color w:val="auto"/>
          <w:sz w:val="22"/>
        </w:rPr>
        <w:t>Strategic Plan</w:t>
      </w:r>
      <w:r w:rsidRPr="0096403C">
        <w:rPr>
          <w:color w:val="auto"/>
          <w:sz w:val="22"/>
        </w:rPr>
        <w:t xml:space="preserve">, national developments in HE, </w:t>
      </w:r>
      <w:r w:rsidR="00FC3177" w:rsidRPr="0096403C">
        <w:rPr>
          <w:color w:val="auto"/>
          <w:sz w:val="22"/>
        </w:rPr>
        <w:t>developments within the profession etc</w:t>
      </w:r>
      <w:r w:rsidRPr="0096403C">
        <w:rPr>
          <w:color w:val="auto"/>
          <w:sz w:val="22"/>
        </w:rPr>
        <w:t>. When a programme is due for revalidation, it is possible to subsume the requirements for Annual Programme Evaluation for that year into the overall evaluation report for revalidation. The evaluation report will cover the areas below and should always refer to anything within the programme that is distinctive or innovative. In addition, any areas of good practice that could or have been shared across programmes within the Institution should be highlighted:</w:t>
      </w:r>
    </w:p>
    <w:p w14:paraId="08645C30" w14:textId="27B639BC" w:rsidR="004A27B2" w:rsidRDefault="000577A7" w:rsidP="0096403C">
      <w:pPr>
        <w:pStyle w:val="Heading3"/>
        <w:spacing w:after="200"/>
      </w:pPr>
      <w:r w:rsidRPr="002D3212">
        <w:t>1.2.2</w:t>
      </w:r>
      <w:r w:rsidRPr="002D3212">
        <w:tab/>
      </w:r>
      <w:r w:rsidRPr="0096403C">
        <w:rPr>
          <w:rStyle w:val="Heading3Char"/>
        </w:rPr>
        <w:t>Headings for the report</w:t>
      </w:r>
    </w:p>
    <w:p w14:paraId="12148D37" w14:textId="5075D968" w:rsidR="00D65873" w:rsidRDefault="00D65873" w:rsidP="0096403C">
      <w:pPr>
        <w:pStyle w:val="Heading4"/>
      </w:pPr>
      <w:r>
        <w:t>Overview</w:t>
      </w:r>
    </w:p>
    <w:p w14:paraId="397A37F2" w14:textId="1DCE7C77" w:rsidR="000577A7" w:rsidRPr="0096403C" w:rsidRDefault="00D65873" w:rsidP="000577A7">
      <w:pPr>
        <w:pStyle w:val="BodyTextIndent"/>
        <w:numPr>
          <w:ilvl w:val="0"/>
          <w:numId w:val="1"/>
        </w:numPr>
        <w:ind w:left="1418" w:hanging="425"/>
        <w:rPr>
          <w:b/>
          <w:sz w:val="22"/>
          <w:szCs w:val="22"/>
        </w:rPr>
      </w:pPr>
      <w:r w:rsidRPr="0096403C">
        <w:rPr>
          <w:b/>
          <w:sz w:val="22"/>
          <w:szCs w:val="22"/>
        </w:rPr>
        <w:t>Programme Context</w:t>
      </w:r>
      <w:r w:rsidR="000577A7" w:rsidRPr="0096403C">
        <w:rPr>
          <w:b/>
          <w:sz w:val="22"/>
          <w:szCs w:val="22"/>
        </w:rPr>
        <w:t xml:space="preserve">: </w:t>
      </w:r>
    </w:p>
    <w:p w14:paraId="20C104E6" w14:textId="15899276" w:rsidR="000577A7" w:rsidRPr="0096403C" w:rsidRDefault="004A27B2" w:rsidP="000577A7">
      <w:pPr>
        <w:pStyle w:val="BodyText"/>
        <w:ind w:left="1418"/>
        <w:rPr>
          <w:sz w:val="22"/>
        </w:rPr>
      </w:pPr>
      <w:r w:rsidRPr="0096403C">
        <w:rPr>
          <w:sz w:val="22"/>
        </w:rPr>
        <w:t>A</w:t>
      </w:r>
      <w:r w:rsidR="000577A7" w:rsidRPr="0096403C">
        <w:rPr>
          <w:sz w:val="22"/>
        </w:rPr>
        <w:t>n overview of the background to the programme, to include:</w:t>
      </w:r>
    </w:p>
    <w:p w14:paraId="27E5B80F" w14:textId="77777777" w:rsidR="000577A7" w:rsidRPr="0096403C" w:rsidRDefault="000577A7" w:rsidP="000577A7">
      <w:pPr>
        <w:pStyle w:val="BodyTextIndent2"/>
        <w:numPr>
          <w:ilvl w:val="2"/>
          <w:numId w:val="2"/>
        </w:numPr>
        <w:spacing w:after="60"/>
        <w:ind w:left="2154" w:hanging="357"/>
        <w:rPr>
          <w:sz w:val="22"/>
          <w:szCs w:val="22"/>
        </w:rPr>
      </w:pPr>
      <w:r w:rsidRPr="0096403C">
        <w:rPr>
          <w:sz w:val="22"/>
          <w:szCs w:val="22"/>
        </w:rPr>
        <w:t>the date the programme was first established</w:t>
      </w:r>
    </w:p>
    <w:p w14:paraId="43103A7B" w14:textId="77777777" w:rsidR="000577A7" w:rsidRPr="0096403C" w:rsidRDefault="000577A7" w:rsidP="000577A7">
      <w:pPr>
        <w:pStyle w:val="BodyTextIndent2"/>
        <w:numPr>
          <w:ilvl w:val="2"/>
          <w:numId w:val="2"/>
        </w:numPr>
        <w:spacing w:after="60"/>
        <w:ind w:left="2154" w:hanging="357"/>
        <w:rPr>
          <w:sz w:val="22"/>
          <w:szCs w:val="22"/>
        </w:rPr>
      </w:pPr>
      <w:r w:rsidRPr="0096403C">
        <w:rPr>
          <w:sz w:val="22"/>
          <w:szCs w:val="22"/>
        </w:rPr>
        <w:t>fit with the Framework for Higher Education Qualifications (FHEQ)</w:t>
      </w:r>
    </w:p>
    <w:p w14:paraId="60A05979" w14:textId="77777777" w:rsidR="000577A7" w:rsidRPr="0096403C" w:rsidRDefault="000577A7" w:rsidP="000577A7">
      <w:pPr>
        <w:pStyle w:val="BodyTextIndent2"/>
        <w:numPr>
          <w:ilvl w:val="2"/>
          <w:numId w:val="2"/>
        </w:numPr>
        <w:spacing w:after="60"/>
        <w:ind w:left="2154" w:hanging="357"/>
        <w:rPr>
          <w:sz w:val="22"/>
          <w:szCs w:val="22"/>
        </w:rPr>
      </w:pPr>
      <w:r w:rsidRPr="0096403C">
        <w:rPr>
          <w:sz w:val="22"/>
          <w:szCs w:val="22"/>
        </w:rPr>
        <w:t>market for the programme</w:t>
      </w:r>
    </w:p>
    <w:p w14:paraId="02955A2B" w14:textId="77777777" w:rsidR="000577A7" w:rsidRPr="0096403C" w:rsidRDefault="000577A7" w:rsidP="000577A7">
      <w:pPr>
        <w:pStyle w:val="BodyTextIndent2"/>
        <w:numPr>
          <w:ilvl w:val="2"/>
          <w:numId w:val="2"/>
        </w:numPr>
        <w:spacing w:after="60"/>
        <w:ind w:left="2154" w:hanging="357"/>
        <w:rPr>
          <w:sz w:val="22"/>
          <w:szCs w:val="22"/>
        </w:rPr>
      </w:pPr>
      <w:r w:rsidRPr="0096403C">
        <w:rPr>
          <w:sz w:val="22"/>
          <w:szCs w:val="22"/>
        </w:rPr>
        <w:t>overall developments that have occurred since the last validation/revalidation</w:t>
      </w:r>
      <w:r w:rsidR="00A204FA" w:rsidRPr="0096403C">
        <w:rPr>
          <w:sz w:val="22"/>
          <w:szCs w:val="22"/>
        </w:rPr>
        <w:t xml:space="preserve"> (e.g. module amendments, changes to cohort sizes, delivery models etc.)</w:t>
      </w:r>
    </w:p>
    <w:p w14:paraId="36B0C39E" w14:textId="77777777" w:rsidR="00D65873" w:rsidRPr="0096403C" w:rsidRDefault="00D65873" w:rsidP="0096403C">
      <w:pPr>
        <w:pStyle w:val="BodyTextIndent"/>
        <w:numPr>
          <w:ilvl w:val="1"/>
          <w:numId w:val="2"/>
        </w:numPr>
        <w:spacing w:before="240"/>
        <w:ind w:left="1434" w:hanging="357"/>
        <w:contextualSpacing w:val="0"/>
        <w:rPr>
          <w:b/>
          <w:sz w:val="22"/>
          <w:szCs w:val="22"/>
        </w:rPr>
      </w:pPr>
      <w:r w:rsidRPr="0096403C">
        <w:rPr>
          <w:b/>
          <w:sz w:val="22"/>
          <w:szCs w:val="22"/>
        </w:rPr>
        <w:t>Rationale for the programme</w:t>
      </w:r>
    </w:p>
    <w:p w14:paraId="364D4D62" w14:textId="77777777" w:rsidR="00D65873" w:rsidRPr="0096403C" w:rsidRDefault="00D65873" w:rsidP="0096403C">
      <w:pPr>
        <w:pStyle w:val="BodyTextIndent"/>
        <w:spacing w:before="240"/>
        <w:ind w:left="1440"/>
        <w:rPr>
          <w:sz w:val="22"/>
          <w:szCs w:val="22"/>
        </w:rPr>
      </w:pPr>
      <w:r w:rsidRPr="0096403C">
        <w:rPr>
          <w:sz w:val="22"/>
          <w:szCs w:val="22"/>
        </w:rPr>
        <w:t>Vision and strategy for the programme within the context of TL’s strategic plan</w:t>
      </w:r>
    </w:p>
    <w:p w14:paraId="4E9E6FEF" w14:textId="77777777" w:rsidR="00D65873" w:rsidRPr="0096403C" w:rsidRDefault="00D65873" w:rsidP="0096403C">
      <w:pPr>
        <w:pStyle w:val="BodyTextIndent"/>
        <w:numPr>
          <w:ilvl w:val="2"/>
          <w:numId w:val="2"/>
        </w:numPr>
        <w:spacing w:before="240"/>
        <w:rPr>
          <w:sz w:val="22"/>
          <w:szCs w:val="22"/>
        </w:rPr>
      </w:pPr>
      <w:r w:rsidRPr="0096403C">
        <w:rPr>
          <w:sz w:val="22"/>
          <w:szCs w:val="22"/>
        </w:rPr>
        <w:t>Student demand</w:t>
      </w:r>
    </w:p>
    <w:p w14:paraId="2F38FAAB" w14:textId="77777777" w:rsidR="00D65873" w:rsidRPr="0096403C" w:rsidRDefault="00D65873" w:rsidP="0096403C">
      <w:pPr>
        <w:pStyle w:val="BodyTextIndent"/>
        <w:numPr>
          <w:ilvl w:val="2"/>
          <w:numId w:val="2"/>
        </w:numPr>
        <w:spacing w:before="240"/>
        <w:rPr>
          <w:sz w:val="22"/>
          <w:szCs w:val="22"/>
        </w:rPr>
      </w:pPr>
      <w:r w:rsidRPr="0096403C">
        <w:rPr>
          <w:sz w:val="22"/>
          <w:szCs w:val="22"/>
        </w:rPr>
        <w:t>Employer requirements</w:t>
      </w:r>
    </w:p>
    <w:p w14:paraId="37F5399A" w14:textId="77777777" w:rsidR="00D65873" w:rsidRPr="0096403C" w:rsidRDefault="00D65873" w:rsidP="0096403C">
      <w:pPr>
        <w:pStyle w:val="BodyTextIndent"/>
        <w:numPr>
          <w:ilvl w:val="2"/>
          <w:numId w:val="2"/>
        </w:numPr>
        <w:spacing w:before="240"/>
        <w:rPr>
          <w:sz w:val="22"/>
          <w:szCs w:val="22"/>
        </w:rPr>
      </w:pPr>
      <w:r w:rsidRPr="0096403C">
        <w:rPr>
          <w:sz w:val="22"/>
          <w:szCs w:val="22"/>
        </w:rPr>
        <w:t>Contribution to the sector</w:t>
      </w:r>
    </w:p>
    <w:p w14:paraId="55AFADB9" w14:textId="77777777" w:rsidR="00D65873" w:rsidRPr="0096403C" w:rsidRDefault="00D65873" w:rsidP="0096403C">
      <w:pPr>
        <w:pStyle w:val="BodyTextIndent"/>
        <w:numPr>
          <w:ilvl w:val="2"/>
          <w:numId w:val="2"/>
        </w:numPr>
        <w:spacing w:before="240"/>
        <w:rPr>
          <w:sz w:val="22"/>
          <w:szCs w:val="22"/>
        </w:rPr>
      </w:pPr>
      <w:r w:rsidRPr="0096403C">
        <w:rPr>
          <w:sz w:val="22"/>
          <w:szCs w:val="22"/>
        </w:rPr>
        <w:t>Relevant national/international initiatives</w:t>
      </w:r>
    </w:p>
    <w:p w14:paraId="4FA877CF" w14:textId="77777777" w:rsidR="00D65873" w:rsidRPr="0096403C" w:rsidRDefault="00D65873" w:rsidP="0096403C">
      <w:pPr>
        <w:pStyle w:val="BodyTextIndent"/>
        <w:numPr>
          <w:ilvl w:val="2"/>
          <w:numId w:val="2"/>
        </w:numPr>
        <w:spacing w:before="240"/>
        <w:ind w:left="2154" w:hanging="357"/>
        <w:contextualSpacing w:val="0"/>
        <w:rPr>
          <w:sz w:val="22"/>
          <w:szCs w:val="22"/>
        </w:rPr>
      </w:pPr>
      <w:r w:rsidRPr="0096403C">
        <w:rPr>
          <w:sz w:val="22"/>
          <w:szCs w:val="22"/>
        </w:rPr>
        <w:t>Opportunities to build external relationships or raise TL’s profile</w:t>
      </w:r>
    </w:p>
    <w:p w14:paraId="0D0925BB" w14:textId="77777777" w:rsidR="00D65873" w:rsidRPr="0096403C" w:rsidRDefault="00D65873" w:rsidP="0096403C">
      <w:pPr>
        <w:pStyle w:val="BodyTextIndent"/>
        <w:numPr>
          <w:ilvl w:val="1"/>
          <w:numId w:val="2"/>
        </w:numPr>
        <w:spacing w:before="240"/>
        <w:ind w:left="1434" w:hanging="357"/>
        <w:contextualSpacing w:val="0"/>
        <w:rPr>
          <w:b/>
          <w:sz w:val="22"/>
          <w:szCs w:val="22"/>
        </w:rPr>
      </w:pPr>
      <w:r w:rsidRPr="0096403C">
        <w:rPr>
          <w:b/>
          <w:sz w:val="22"/>
          <w:szCs w:val="22"/>
        </w:rPr>
        <w:t>Programme management and oversight</w:t>
      </w:r>
    </w:p>
    <w:p w14:paraId="1C91E7AC" w14:textId="4368C00D" w:rsidR="00D65873" w:rsidRPr="0096403C" w:rsidRDefault="00D65873" w:rsidP="0096403C">
      <w:pPr>
        <w:pStyle w:val="BodyTextIndent"/>
        <w:spacing w:before="240"/>
        <w:ind w:left="1440"/>
        <w:rPr>
          <w:sz w:val="22"/>
          <w:szCs w:val="22"/>
        </w:rPr>
      </w:pPr>
      <w:r w:rsidRPr="0096403C">
        <w:rPr>
          <w:sz w:val="22"/>
          <w:szCs w:val="22"/>
        </w:rPr>
        <w:lastRenderedPageBreak/>
        <w:t>Brief overview of responsibilities for Programme development, leadership and support within the Faculty</w:t>
      </w:r>
    </w:p>
    <w:p w14:paraId="24716D6E" w14:textId="41319863" w:rsidR="00D65873" w:rsidRDefault="004A27B2" w:rsidP="0096403C">
      <w:pPr>
        <w:pStyle w:val="Heading4"/>
      </w:pPr>
      <w:r>
        <w:t>Recruitment and Admissions</w:t>
      </w:r>
    </w:p>
    <w:p w14:paraId="2E7FD46D" w14:textId="77777777" w:rsidR="00D65873" w:rsidRPr="0096403C" w:rsidRDefault="00D65873" w:rsidP="0096403C">
      <w:pPr>
        <w:pStyle w:val="BodyTextIndent"/>
        <w:numPr>
          <w:ilvl w:val="1"/>
          <w:numId w:val="4"/>
        </w:numPr>
        <w:spacing w:before="240"/>
        <w:ind w:left="1434" w:hanging="357"/>
        <w:contextualSpacing w:val="0"/>
        <w:rPr>
          <w:b/>
          <w:sz w:val="22"/>
          <w:szCs w:val="22"/>
        </w:rPr>
      </w:pPr>
      <w:r w:rsidRPr="0096403C">
        <w:rPr>
          <w:b/>
          <w:sz w:val="22"/>
          <w:szCs w:val="22"/>
        </w:rPr>
        <w:t>Projected student numbers for the next 5 year</w:t>
      </w:r>
      <w:r w:rsidR="00EE70F6" w:rsidRPr="0096403C">
        <w:rPr>
          <w:b/>
          <w:sz w:val="22"/>
          <w:szCs w:val="22"/>
        </w:rPr>
        <w:t>s including:</w:t>
      </w:r>
    </w:p>
    <w:p w14:paraId="79052DAA" w14:textId="77777777" w:rsidR="00D65873" w:rsidRPr="0096403C" w:rsidRDefault="00EE70F6" w:rsidP="0096403C">
      <w:pPr>
        <w:pStyle w:val="BodyTextIndent"/>
        <w:numPr>
          <w:ilvl w:val="2"/>
          <w:numId w:val="4"/>
        </w:numPr>
        <w:spacing w:before="240"/>
        <w:rPr>
          <w:sz w:val="22"/>
          <w:szCs w:val="22"/>
        </w:rPr>
      </w:pPr>
      <w:r w:rsidRPr="0096403C">
        <w:rPr>
          <w:sz w:val="22"/>
          <w:szCs w:val="22"/>
        </w:rPr>
        <w:t>A</w:t>
      </w:r>
      <w:r w:rsidR="00D65873" w:rsidRPr="0096403C">
        <w:rPr>
          <w:sz w:val="22"/>
          <w:szCs w:val="22"/>
        </w:rPr>
        <w:t>pplication</w:t>
      </w:r>
      <w:r w:rsidRPr="0096403C">
        <w:rPr>
          <w:sz w:val="22"/>
          <w:szCs w:val="22"/>
        </w:rPr>
        <w:t xml:space="preserve"> numbers by student type</w:t>
      </w:r>
    </w:p>
    <w:p w14:paraId="56B5CB51" w14:textId="77777777" w:rsidR="00EE70F6" w:rsidRPr="0096403C" w:rsidRDefault="00EE70F6" w:rsidP="0096403C">
      <w:pPr>
        <w:pStyle w:val="BodyTextIndent"/>
        <w:numPr>
          <w:ilvl w:val="2"/>
          <w:numId w:val="4"/>
        </w:numPr>
        <w:spacing w:before="240"/>
        <w:ind w:left="2154" w:hanging="357"/>
        <w:contextualSpacing w:val="0"/>
        <w:rPr>
          <w:sz w:val="22"/>
          <w:szCs w:val="22"/>
        </w:rPr>
      </w:pPr>
      <w:r w:rsidRPr="0096403C">
        <w:rPr>
          <w:sz w:val="22"/>
          <w:szCs w:val="22"/>
        </w:rPr>
        <w:t>Enrolment numbers by student type</w:t>
      </w:r>
    </w:p>
    <w:p w14:paraId="1745C64F" w14:textId="77777777" w:rsidR="00EE70F6" w:rsidRPr="0096403C" w:rsidRDefault="006B62FC" w:rsidP="0096403C">
      <w:pPr>
        <w:pStyle w:val="BodyTextIndent"/>
        <w:numPr>
          <w:ilvl w:val="1"/>
          <w:numId w:val="4"/>
        </w:numPr>
        <w:spacing w:before="240"/>
        <w:ind w:left="1434" w:hanging="357"/>
        <w:contextualSpacing w:val="0"/>
        <w:rPr>
          <w:b/>
          <w:sz w:val="22"/>
          <w:szCs w:val="22"/>
        </w:rPr>
      </w:pPr>
      <w:r w:rsidRPr="0096403C">
        <w:rPr>
          <w:b/>
          <w:sz w:val="22"/>
          <w:szCs w:val="22"/>
        </w:rPr>
        <w:t>Market for the Programme</w:t>
      </w:r>
    </w:p>
    <w:p w14:paraId="6AD57D0B" w14:textId="77777777" w:rsidR="00EE70F6" w:rsidRPr="0096403C" w:rsidRDefault="00EE70F6" w:rsidP="0096403C">
      <w:pPr>
        <w:pStyle w:val="BodyTextIndent"/>
        <w:spacing w:before="240"/>
        <w:ind w:left="1440"/>
        <w:rPr>
          <w:sz w:val="22"/>
          <w:szCs w:val="22"/>
        </w:rPr>
      </w:pPr>
      <w:r w:rsidRPr="0096403C">
        <w:rPr>
          <w:sz w:val="22"/>
          <w:szCs w:val="22"/>
        </w:rPr>
        <w:t>Evidence for continued demand for the programme to include:</w:t>
      </w:r>
    </w:p>
    <w:p w14:paraId="1B2AFF9E" w14:textId="77777777" w:rsidR="00EE70F6" w:rsidRPr="0096403C" w:rsidRDefault="00EE70F6" w:rsidP="0096403C">
      <w:pPr>
        <w:pStyle w:val="BodyTextIndent"/>
        <w:numPr>
          <w:ilvl w:val="2"/>
          <w:numId w:val="4"/>
        </w:numPr>
        <w:spacing w:before="240"/>
        <w:rPr>
          <w:sz w:val="22"/>
          <w:szCs w:val="22"/>
        </w:rPr>
      </w:pPr>
      <w:r w:rsidRPr="0096403C">
        <w:rPr>
          <w:sz w:val="22"/>
          <w:szCs w:val="22"/>
        </w:rPr>
        <w:t>Commentary on admissions statistics from the previous 5 years</w:t>
      </w:r>
    </w:p>
    <w:p w14:paraId="5B9D042C" w14:textId="77777777" w:rsidR="00EE70F6" w:rsidRPr="0096403C" w:rsidRDefault="00EE70F6" w:rsidP="0096403C">
      <w:pPr>
        <w:pStyle w:val="BodyTextIndent"/>
        <w:numPr>
          <w:ilvl w:val="2"/>
          <w:numId w:val="4"/>
        </w:numPr>
        <w:spacing w:before="240"/>
        <w:rPr>
          <w:sz w:val="22"/>
          <w:szCs w:val="22"/>
        </w:rPr>
      </w:pPr>
      <w:r w:rsidRPr="0096403C">
        <w:rPr>
          <w:sz w:val="22"/>
          <w:szCs w:val="22"/>
        </w:rPr>
        <w:t>Diversity of the student body</w:t>
      </w:r>
    </w:p>
    <w:p w14:paraId="31B5F988" w14:textId="77777777" w:rsidR="00EE70F6" w:rsidRPr="0096403C" w:rsidRDefault="00EE70F6" w:rsidP="0096403C">
      <w:pPr>
        <w:pStyle w:val="BodyTextIndent"/>
        <w:numPr>
          <w:ilvl w:val="2"/>
          <w:numId w:val="4"/>
        </w:numPr>
        <w:spacing w:before="240"/>
        <w:rPr>
          <w:sz w:val="22"/>
          <w:szCs w:val="22"/>
        </w:rPr>
      </w:pPr>
      <w:r w:rsidRPr="0096403C">
        <w:rPr>
          <w:sz w:val="22"/>
          <w:szCs w:val="22"/>
        </w:rPr>
        <w:t>Employment outcomes including examples of graduate destinations</w:t>
      </w:r>
    </w:p>
    <w:p w14:paraId="2D329F50" w14:textId="77777777" w:rsidR="00EE70F6" w:rsidRPr="0096403C" w:rsidRDefault="00EE70F6" w:rsidP="0096403C">
      <w:pPr>
        <w:pStyle w:val="BodyTextIndent"/>
        <w:numPr>
          <w:ilvl w:val="2"/>
          <w:numId w:val="4"/>
        </w:numPr>
        <w:spacing w:before="240"/>
        <w:ind w:left="2154" w:hanging="357"/>
        <w:contextualSpacing w:val="0"/>
        <w:rPr>
          <w:sz w:val="22"/>
          <w:szCs w:val="22"/>
        </w:rPr>
      </w:pPr>
      <w:r w:rsidRPr="0096403C">
        <w:rPr>
          <w:sz w:val="22"/>
          <w:szCs w:val="22"/>
        </w:rPr>
        <w:t>List of competitor programmes and USPs of the TL programme in relation to these</w:t>
      </w:r>
    </w:p>
    <w:p w14:paraId="0A168FCA" w14:textId="77777777" w:rsidR="00EE70F6" w:rsidRPr="0096403C" w:rsidRDefault="00EE70F6" w:rsidP="0096403C">
      <w:pPr>
        <w:pStyle w:val="BodyTextIndent"/>
        <w:numPr>
          <w:ilvl w:val="1"/>
          <w:numId w:val="4"/>
        </w:numPr>
        <w:spacing w:before="240"/>
        <w:ind w:left="1434" w:hanging="357"/>
        <w:contextualSpacing w:val="0"/>
        <w:rPr>
          <w:b/>
          <w:sz w:val="22"/>
          <w:szCs w:val="22"/>
        </w:rPr>
      </w:pPr>
      <w:r w:rsidRPr="0096403C">
        <w:rPr>
          <w:b/>
          <w:sz w:val="22"/>
          <w:szCs w:val="22"/>
        </w:rPr>
        <w:t>Recruitment and Marketing</w:t>
      </w:r>
    </w:p>
    <w:p w14:paraId="1E96F60D" w14:textId="30EC03FF" w:rsidR="00EE70F6" w:rsidRPr="0096403C" w:rsidRDefault="00EE70F6" w:rsidP="0096403C">
      <w:pPr>
        <w:pStyle w:val="BodyTextIndent"/>
        <w:spacing w:before="240"/>
        <w:ind w:left="1418"/>
        <w:rPr>
          <w:sz w:val="22"/>
          <w:szCs w:val="22"/>
        </w:rPr>
      </w:pPr>
      <w:r w:rsidRPr="0096403C">
        <w:rPr>
          <w:sz w:val="22"/>
          <w:szCs w:val="22"/>
        </w:rPr>
        <w:t>Reflection on</w:t>
      </w:r>
      <w:r w:rsidR="00410B00" w:rsidRPr="0096403C">
        <w:rPr>
          <w:sz w:val="22"/>
          <w:szCs w:val="22"/>
        </w:rPr>
        <w:t xml:space="preserve"> the effectiveness of approaches</w:t>
      </w:r>
      <w:r w:rsidRPr="0096403C">
        <w:rPr>
          <w:sz w:val="22"/>
          <w:szCs w:val="22"/>
        </w:rPr>
        <w:t xml:space="preserve"> to recruitment to and marketing of the programme over the past 5 years, including:</w:t>
      </w:r>
    </w:p>
    <w:p w14:paraId="206A1702" w14:textId="155F149C" w:rsidR="00EE70F6" w:rsidRPr="0096403C" w:rsidRDefault="00EE70F6" w:rsidP="0096403C">
      <w:pPr>
        <w:pStyle w:val="BodyTextIndent"/>
        <w:numPr>
          <w:ilvl w:val="2"/>
          <w:numId w:val="5"/>
        </w:numPr>
        <w:spacing w:before="240"/>
        <w:rPr>
          <w:sz w:val="22"/>
          <w:szCs w:val="22"/>
        </w:rPr>
      </w:pPr>
      <w:r w:rsidRPr="0096403C">
        <w:rPr>
          <w:sz w:val="22"/>
          <w:szCs w:val="22"/>
        </w:rPr>
        <w:t>Target markets for recruitment</w:t>
      </w:r>
      <w:r w:rsidR="002D3212">
        <w:rPr>
          <w:sz w:val="22"/>
          <w:szCs w:val="22"/>
        </w:rPr>
        <w:t xml:space="preserve"> (including underrepresented groups)</w:t>
      </w:r>
    </w:p>
    <w:p w14:paraId="210169BE" w14:textId="77777777" w:rsidR="00EE70F6" w:rsidRPr="0096403C" w:rsidRDefault="00EE70F6" w:rsidP="0096403C">
      <w:pPr>
        <w:pStyle w:val="BodyTextIndent"/>
        <w:numPr>
          <w:ilvl w:val="2"/>
          <w:numId w:val="5"/>
        </w:numPr>
        <w:spacing w:before="240"/>
        <w:rPr>
          <w:sz w:val="22"/>
          <w:szCs w:val="22"/>
        </w:rPr>
      </w:pPr>
      <w:r w:rsidRPr="0096403C">
        <w:rPr>
          <w:sz w:val="22"/>
          <w:szCs w:val="22"/>
        </w:rPr>
        <w:t>Home and overseas recruitment activities</w:t>
      </w:r>
    </w:p>
    <w:p w14:paraId="4E425279" w14:textId="77777777" w:rsidR="00EE70F6" w:rsidRPr="0096403C" w:rsidRDefault="00EE70F6" w:rsidP="0096403C">
      <w:pPr>
        <w:pStyle w:val="BodyTextIndent"/>
        <w:numPr>
          <w:ilvl w:val="2"/>
          <w:numId w:val="5"/>
        </w:numPr>
        <w:spacing w:before="240"/>
        <w:rPr>
          <w:sz w:val="22"/>
          <w:szCs w:val="22"/>
        </w:rPr>
      </w:pPr>
      <w:r w:rsidRPr="0096403C">
        <w:rPr>
          <w:sz w:val="22"/>
          <w:szCs w:val="22"/>
        </w:rPr>
        <w:t>Online marketing strategies</w:t>
      </w:r>
    </w:p>
    <w:p w14:paraId="6162CB7D" w14:textId="77777777" w:rsidR="0079590F" w:rsidRPr="0096403C" w:rsidRDefault="0079590F" w:rsidP="0096403C">
      <w:pPr>
        <w:pStyle w:val="BodyTextIndent"/>
        <w:numPr>
          <w:ilvl w:val="2"/>
          <w:numId w:val="5"/>
        </w:numPr>
        <w:spacing w:before="240"/>
        <w:rPr>
          <w:sz w:val="22"/>
          <w:szCs w:val="22"/>
        </w:rPr>
      </w:pPr>
      <w:r w:rsidRPr="0096403C">
        <w:rPr>
          <w:sz w:val="22"/>
          <w:szCs w:val="22"/>
        </w:rPr>
        <w:t>Strategies for widening participation</w:t>
      </w:r>
    </w:p>
    <w:p w14:paraId="26256AF4" w14:textId="77777777" w:rsidR="00EE70F6" w:rsidRPr="0096403C" w:rsidRDefault="00EE70F6" w:rsidP="0096403C">
      <w:pPr>
        <w:pStyle w:val="BodyTextIndent"/>
        <w:numPr>
          <w:ilvl w:val="2"/>
          <w:numId w:val="5"/>
        </w:numPr>
        <w:spacing w:before="240"/>
        <w:ind w:left="2154" w:hanging="357"/>
        <w:contextualSpacing w:val="0"/>
        <w:rPr>
          <w:sz w:val="22"/>
          <w:szCs w:val="22"/>
        </w:rPr>
      </w:pPr>
      <w:r w:rsidRPr="0096403C">
        <w:rPr>
          <w:sz w:val="22"/>
          <w:szCs w:val="22"/>
        </w:rPr>
        <w:t>Planned enhancements to recruitment strategies</w:t>
      </w:r>
    </w:p>
    <w:p w14:paraId="0484E5BD" w14:textId="77777777" w:rsidR="00EE70F6" w:rsidRPr="0096403C" w:rsidRDefault="00EE70F6" w:rsidP="0096403C">
      <w:pPr>
        <w:pStyle w:val="BodyTextIndent"/>
        <w:numPr>
          <w:ilvl w:val="1"/>
          <w:numId w:val="5"/>
        </w:numPr>
        <w:spacing w:before="240"/>
        <w:ind w:left="1434" w:hanging="357"/>
        <w:contextualSpacing w:val="0"/>
        <w:rPr>
          <w:b/>
          <w:sz w:val="22"/>
          <w:szCs w:val="22"/>
        </w:rPr>
      </w:pPr>
      <w:r w:rsidRPr="0096403C">
        <w:rPr>
          <w:b/>
          <w:sz w:val="22"/>
          <w:szCs w:val="22"/>
        </w:rPr>
        <w:t>Adm</w:t>
      </w:r>
      <w:r w:rsidR="00A204FA" w:rsidRPr="0096403C">
        <w:rPr>
          <w:b/>
          <w:sz w:val="22"/>
          <w:szCs w:val="22"/>
        </w:rPr>
        <w:t>issions</w:t>
      </w:r>
    </w:p>
    <w:p w14:paraId="796E47FE" w14:textId="77777777" w:rsidR="00EE70F6" w:rsidRPr="0096403C" w:rsidRDefault="00A204FA" w:rsidP="0096403C">
      <w:pPr>
        <w:pStyle w:val="BodyTextIndent"/>
        <w:spacing w:before="240"/>
        <w:ind w:left="1440"/>
        <w:rPr>
          <w:sz w:val="22"/>
          <w:szCs w:val="22"/>
        </w:rPr>
      </w:pPr>
      <w:r w:rsidRPr="0096403C">
        <w:rPr>
          <w:sz w:val="22"/>
          <w:szCs w:val="22"/>
        </w:rPr>
        <w:t>Reflection on how effectively the admissions process 5 year period, including:</w:t>
      </w:r>
    </w:p>
    <w:p w14:paraId="16CCCE4B" w14:textId="77777777" w:rsidR="00A204FA" w:rsidRPr="0096403C" w:rsidRDefault="00A204FA" w:rsidP="0096403C">
      <w:pPr>
        <w:pStyle w:val="BodyTextIndent"/>
        <w:numPr>
          <w:ilvl w:val="2"/>
          <w:numId w:val="5"/>
        </w:numPr>
        <w:spacing w:before="240"/>
        <w:rPr>
          <w:sz w:val="22"/>
          <w:szCs w:val="22"/>
        </w:rPr>
      </w:pPr>
      <w:r w:rsidRPr="0096403C">
        <w:rPr>
          <w:sz w:val="22"/>
          <w:szCs w:val="22"/>
        </w:rPr>
        <w:t>The application process</w:t>
      </w:r>
    </w:p>
    <w:p w14:paraId="4A12BFD4" w14:textId="77777777" w:rsidR="00A204FA" w:rsidRPr="0096403C" w:rsidRDefault="00A204FA" w:rsidP="0096403C">
      <w:pPr>
        <w:pStyle w:val="BodyTextIndent"/>
        <w:numPr>
          <w:ilvl w:val="2"/>
          <w:numId w:val="5"/>
        </w:numPr>
        <w:spacing w:before="240"/>
        <w:rPr>
          <w:sz w:val="22"/>
          <w:szCs w:val="22"/>
        </w:rPr>
      </w:pPr>
      <w:r w:rsidRPr="0096403C">
        <w:rPr>
          <w:sz w:val="22"/>
          <w:szCs w:val="22"/>
        </w:rPr>
        <w:t>Audition arrangements</w:t>
      </w:r>
    </w:p>
    <w:p w14:paraId="4C5604C7" w14:textId="77777777" w:rsidR="00A204FA" w:rsidRPr="0096403C" w:rsidRDefault="00A204FA" w:rsidP="0096403C">
      <w:pPr>
        <w:pStyle w:val="BodyTextIndent"/>
        <w:numPr>
          <w:ilvl w:val="2"/>
          <w:numId w:val="5"/>
        </w:numPr>
        <w:spacing w:before="240"/>
        <w:rPr>
          <w:sz w:val="22"/>
          <w:szCs w:val="22"/>
        </w:rPr>
      </w:pPr>
      <w:r w:rsidRPr="0096403C">
        <w:rPr>
          <w:sz w:val="22"/>
          <w:szCs w:val="22"/>
        </w:rPr>
        <w:t>Academic entry requirements</w:t>
      </w:r>
    </w:p>
    <w:p w14:paraId="1B021B30" w14:textId="77777777" w:rsidR="001C0D23" w:rsidRPr="0096403C" w:rsidRDefault="001C0D23" w:rsidP="0096403C">
      <w:pPr>
        <w:pStyle w:val="BodyTextIndent"/>
        <w:numPr>
          <w:ilvl w:val="2"/>
          <w:numId w:val="5"/>
        </w:numPr>
        <w:spacing w:before="240"/>
        <w:rPr>
          <w:sz w:val="22"/>
          <w:szCs w:val="22"/>
        </w:rPr>
      </w:pPr>
      <w:r w:rsidRPr="0096403C">
        <w:rPr>
          <w:sz w:val="22"/>
          <w:szCs w:val="22"/>
        </w:rPr>
        <w:t>Non-standard and direct entry arrangements</w:t>
      </w:r>
    </w:p>
    <w:p w14:paraId="3AD9D28F" w14:textId="1F53D554" w:rsidR="00A204FA" w:rsidRDefault="00A204FA" w:rsidP="0096403C">
      <w:pPr>
        <w:pStyle w:val="BodyTextIndent"/>
        <w:numPr>
          <w:ilvl w:val="2"/>
          <w:numId w:val="5"/>
        </w:numPr>
        <w:spacing w:before="240"/>
        <w:rPr>
          <w:sz w:val="22"/>
          <w:szCs w:val="22"/>
        </w:rPr>
      </w:pPr>
      <w:r w:rsidRPr="0096403C">
        <w:rPr>
          <w:sz w:val="22"/>
          <w:szCs w:val="22"/>
        </w:rPr>
        <w:t>Arrangements for progression from other TL programmes (where appropriate)</w:t>
      </w:r>
    </w:p>
    <w:p w14:paraId="6E2BB3D5" w14:textId="307E3774" w:rsidR="002D3212" w:rsidRPr="0096403C" w:rsidRDefault="002D3212" w:rsidP="0096403C">
      <w:pPr>
        <w:pStyle w:val="BodyTextIndent"/>
        <w:numPr>
          <w:ilvl w:val="2"/>
          <w:numId w:val="5"/>
        </w:numPr>
        <w:spacing w:before="240"/>
        <w:rPr>
          <w:sz w:val="22"/>
          <w:szCs w:val="22"/>
        </w:rPr>
      </w:pPr>
      <w:r>
        <w:rPr>
          <w:sz w:val="22"/>
          <w:szCs w:val="22"/>
        </w:rPr>
        <w:t>Evaluation of the accessibility of current admissions arran</w:t>
      </w:r>
      <w:r w:rsidR="00AE5678">
        <w:rPr>
          <w:sz w:val="22"/>
          <w:szCs w:val="22"/>
        </w:rPr>
        <w:t>g</w:t>
      </w:r>
      <w:r>
        <w:rPr>
          <w:sz w:val="22"/>
          <w:szCs w:val="22"/>
        </w:rPr>
        <w:t>ements</w:t>
      </w:r>
    </w:p>
    <w:p w14:paraId="40ABBEE2" w14:textId="0B0E1F0D" w:rsidR="00A204FA" w:rsidRPr="0096403C" w:rsidRDefault="00A204FA" w:rsidP="0096403C">
      <w:pPr>
        <w:pStyle w:val="BodyTextIndent"/>
        <w:numPr>
          <w:ilvl w:val="2"/>
          <w:numId w:val="5"/>
        </w:numPr>
        <w:spacing w:before="240"/>
        <w:rPr>
          <w:sz w:val="22"/>
          <w:szCs w:val="22"/>
        </w:rPr>
      </w:pPr>
      <w:r w:rsidRPr="0096403C">
        <w:rPr>
          <w:sz w:val="22"/>
          <w:szCs w:val="22"/>
        </w:rPr>
        <w:t>Planned enhancements to admissions processes</w:t>
      </w:r>
    </w:p>
    <w:p w14:paraId="17C6B21B" w14:textId="6C879E84" w:rsidR="00F0265E" w:rsidRDefault="00F0265E" w:rsidP="0096403C">
      <w:pPr>
        <w:pStyle w:val="Heading4"/>
      </w:pPr>
      <w:r>
        <w:t>Content and Delivery</w:t>
      </w:r>
    </w:p>
    <w:p w14:paraId="3CAB6CA8" w14:textId="77777777" w:rsidR="00A204FA" w:rsidRPr="0096403C" w:rsidRDefault="00A204FA" w:rsidP="0096403C">
      <w:pPr>
        <w:pStyle w:val="BodyTextIndent"/>
        <w:numPr>
          <w:ilvl w:val="0"/>
          <w:numId w:val="7"/>
        </w:numPr>
        <w:spacing w:before="240"/>
        <w:ind w:left="1434" w:hanging="357"/>
        <w:contextualSpacing w:val="0"/>
        <w:rPr>
          <w:b/>
          <w:sz w:val="22"/>
          <w:szCs w:val="22"/>
        </w:rPr>
      </w:pPr>
      <w:r w:rsidRPr="0096403C">
        <w:rPr>
          <w:b/>
          <w:sz w:val="22"/>
          <w:szCs w:val="22"/>
        </w:rPr>
        <w:t>Curriculum Design</w:t>
      </w:r>
    </w:p>
    <w:p w14:paraId="17744160" w14:textId="77777777" w:rsidR="0079590F" w:rsidRPr="0096403C" w:rsidRDefault="0079590F" w:rsidP="0096403C">
      <w:pPr>
        <w:pStyle w:val="BodyTextIndent"/>
        <w:spacing w:before="240"/>
        <w:ind w:left="1440"/>
        <w:rPr>
          <w:sz w:val="22"/>
          <w:szCs w:val="22"/>
        </w:rPr>
      </w:pPr>
      <w:r w:rsidRPr="0096403C">
        <w:rPr>
          <w:sz w:val="22"/>
          <w:szCs w:val="22"/>
        </w:rPr>
        <w:t>Reflection on the currency and validity of the curriculum, including any proposed changes, with reference to:</w:t>
      </w:r>
    </w:p>
    <w:p w14:paraId="61FCB945" w14:textId="77777777" w:rsidR="0079590F" w:rsidRPr="0096403C" w:rsidRDefault="0079590F" w:rsidP="0096403C">
      <w:pPr>
        <w:pStyle w:val="BodyTextIndent"/>
        <w:numPr>
          <w:ilvl w:val="0"/>
          <w:numId w:val="6"/>
        </w:numPr>
        <w:spacing w:before="240"/>
        <w:rPr>
          <w:sz w:val="22"/>
          <w:szCs w:val="22"/>
        </w:rPr>
      </w:pPr>
      <w:r w:rsidRPr="0096403C">
        <w:rPr>
          <w:sz w:val="22"/>
          <w:szCs w:val="22"/>
        </w:rPr>
        <w:t>Developments within the discipline/profession</w:t>
      </w:r>
    </w:p>
    <w:p w14:paraId="375C6B27" w14:textId="77777777" w:rsidR="0079590F" w:rsidRPr="0096403C" w:rsidRDefault="0079590F" w:rsidP="0096403C">
      <w:pPr>
        <w:pStyle w:val="BodyTextIndent"/>
        <w:numPr>
          <w:ilvl w:val="0"/>
          <w:numId w:val="6"/>
        </w:numPr>
        <w:spacing w:before="240"/>
        <w:rPr>
          <w:sz w:val="22"/>
          <w:szCs w:val="22"/>
        </w:rPr>
      </w:pPr>
      <w:r w:rsidRPr="0096403C">
        <w:rPr>
          <w:sz w:val="22"/>
          <w:szCs w:val="22"/>
        </w:rPr>
        <w:t>Impact of any recent curricular changes</w:t>
      </w:r>
    </w:p>
    <w:p w14:paraId="6F877DE6" w14:textId="77777777" w:rsidR="0079590F" w:rsidRPr="0096403C" w:rsidRDefault="0079590F" w:rsidP="0096403C">
      <w:pPr>
        <w:pStyle w:val="BodyTextIndent"/>
        <w:numPr>
          <w:ilvl w:val="0"/>
          <w:numId w:val="6"/>
        </w:numPr>
        <w:spacing w:before="240"/>
        <w:rPr>
          <w:sz w:val="22"/>
          <w:szCs w:val="22"/>
        </w:rPr>
      </w:pPr>
      <w:r w:rsidRPr="0096403C">
        <w:rPr>
          <w:sz w:val="22"/>
          <w:szCs w:val="22"/>
        </w:rPr>
        <w:t>Opportunities for exchange and/or work-based learning</w:t>
      </w:r>
    </w:p>
    <w:p w14:paraId="3BF5CC61" w14:textId="77777777" w:rsidR="0079590F" w:rsidRPr="0096403C" w:rsidRDefault="0079590F" w:rsidP="0096403C">
      <w:pPr>
        <w:pStyle w:val="BodyTextIndent"/>
        <w:numPr>
          <w:ilvl w:val="0"/>
          <w:numId w:val="6"/>
        </w:numPr>
        <w:spacing w:before="240"/>
        <w:rPr>
          <w:sz w:val="22"/>
          <w:szCs w:val="22"/>
        </w:rPr>
      </w:pPr>
      <w:r w:rsidRPr="0096403C">
        <w:rPr>
          <w:sz w:val="22"/>
          <w:szCs w:val="22"/>
        </w:rPr>
        <w:lastRenderedPageBreak/>
        <w:t>Opportunities for further study</w:t>
      </w:r>
    </w:p>
    <w:p w14:paraId="5FAE6766" w14:textId="77777777" w:rsidR="0079590F" w:rsidRPr="0096403C" w:rsidRDefault="0079590F" w:rsidP="0096403C">
      <w:pPr>
        <w:pStyle w:val="BodyTextIndent"/>
        <w:numPr>
          <w:ilvl w:val="0"/>
          <w:numId w:val="6"/>
        </w:numPr>
        <w:spacing w:before="240"/>
        <w:rPr>
          <w:sz w:val="22"/>
          <w:szCs w:val="22"/>
        </w:rPr>
      </w:pPr>
      <w:r w:rsidRPr="0096403C">
        <w:rPr>
          <w:sz w:val="22"/>
          <w:szCs w:val="22"/>
        </w:rPr>
        <w:t>Staff expertise and links with the profession</w:t>
      </w:r>
    </w:p>
    <w:p w14:paraId="40C19CCE" w14:textId="77777777" w:rsidR="0079590F" w:rsidRPr="0096403C" w:rsidRDefault="0079590F" w:rsidP="0096403C">
      <w:pPr>
        <w:pStyle w:val="BodyTextIndent"/>
        <w:numPr>
          <w:ilvl w:val="0"/>
          <w:numId w:val="6"/>
        </w:numPr>
        <w:spacing w:before="240"/>
        <w:rPr>
          <w:sz w:val="22"/>
          <w:szCs w:val="22"/>
        </w:rPr>
      </w:pPr>
      <w:r w:rsidRPr="0096403C">
        <w:rPr>
          <w:sz w:val="22"/>
          <w:szCs w:val="22"/>
        </w:rPr>
        <w:t>Accessibility and diversity (in terms of culture, background, disability, gender etc.)</w:t>
      </w:r>
    </w:p>
    <w:p w14:paraId="5EA96220" w14:textId="77777777" w:rsidR="001C0D23" w:rsidRPr="0096403C" w:rsidRDefault="001C0D23" w:rsidP="0096403C">
      <w:pPr>
        <w:pStyle w:val="BodyTextIndent"/>
        <w:numPr>
          <w:ilvl w:val="0"/>
          <w:numId w:val="6"/>
        </w:numPr>
        <w:spacing w:before="240"/>
        <w:rPr>
          <w:sz w:val="22"/>
          <w:szCs w:val="22"/>
        </w:rPr>
      </w:pPr>
      <w:r w:rsidRPr="0096403C">
        <w:rPr>
          <w:sz w:val="22"/>
          <w:szCs w:val="22"/>
        </w:rPr>
        <w:t>Programme structure map (including changes)</w:t>
      </w:r>
    </w:p>
    <w:p w14:paraId="232656EB" w14:textId="77777777" w:rsidR="00A204FA" w:rsidRPr="0096403C" w:rsidRDefault="00A204FA" w:rsidP="0096403C">
      <w:pPr>
        <w:pStyle w:val="BodyTextIndent"/>
        <w:spacing w:before="240"/>
        <w:rPr>
          <w:sz w:val="22"/>
          <w:szCs w:val="22"/>
        </w:rPr>
      </w:pPr>
    </w:p>
    <w:p w14:paraId="10E1416D" w14:textId="77777777" w:rsidR="00F0265E" w:rsidRPr="0096403C" w:rsidRDefault="00F0265E" w:rsidP="0096403C">
      <w:pPr>
        <w:pStyle w:val="BodyTextIndent"/>
        <w:numPr>
          <w:ilvl w:val="0"/>
          <w:numId w:val="7"/>
        </w:numPr>
        <w:spacing w:before="240"/>
        <w:ind w:left="1434" w:hanging="357"/>
        <w:contextualSpacing w:val="0"/>
        <w:rPr>
          <w:b/>
          <w:sz w:val="22"/>
          <w:szCs w:val="22"/>
        </w:rPr>
      </w:pPr>
      <w:r w:rsidRPr="0096403C">
        <w:rPr>
          <w:b/>
          <w:sz w:val="22"/>
          <w:szCs w:val="22"/>
        </w:rPr>
        <w:t>Learning and Teaching</w:t>
      </w:r>
    </w:p>
    <w:p w14:paraId="2C97B416" w14:textId="77777777" w:rsidR="00F0265E" w:rsidRPr="0096403C" w:rsidRDefault="00F0265E" w:rsidP="0096403C">
      <w:pPr>
        <w:pStyle w:val="BodyTextIndent"/>
        <w:spacing w:before="240"/>
        <w:ind w:left="1560"/>
        <w:rPr>
          <w:sz w:val="22"/>
          <w:szCs w:val="22"/>
        </w:rPr>
      </w:pPr>
      <w:r w:rsidRPr="0096403C">
        <w:rPr>
          <w:sz w:val="22"/>
          <w:szCs w:val="22"/>
        </w:rPr>
        <w:t>Reflection on the effectiveness of learning and teaching strategies, including</w:t>
      </w:r>
      <w:r w:rsidR="006B62FC" w:rsidRPr="0096403C">
        <w:rPr>
          <w:sz w:val="22"/>
          <w:szCs w:val="22"/>
        </w:rPr>
        <w:t xml:space="preserve"> any proposed changes, with reference to: </w:t>
      </w:r>
    </w:p>
    <w:p w14:paraId="52E48064" w14:textId="63263476" w:rsidR="00F0265E" w:rsidRDefault="00F0265E" w:rsidP="0096403C">
      <w:pPr>
        <w:pStyle w:val="BodyTextIndent"/>
        <w:numPr>
          <w:ilvl w:val="0"/>
          <w:numId w:val="8"/>
        </w:numPr>
        <w:spacing w:before="240"/>
        <w:rPr>
          <w:sz w:val="22"/>
          <w:szCs w:val="22"/>
        </w:rPr>
      </w:pPr>
      <w:r w:rsidRPr="0096403C">
        <w:rPr>
          <w:sz w:val="22"/>
          <w:szCs w:val="22"/>
        </w:rPr>
        <w:t>Student induction</w:t>
      </w:r>
    </w:p>
    <w:p w14:paraId="4BB78728" w14:textId="156547FB" w:rsidR="00C50C81" w:rsidRPr="0096403C" w:rsidRDefault="00C50C81" w:rsidP="0096403C">
      <w:pPr>
        <w:pStyle w:val="BodyTextIndent"/>
        <w:numPr>
          <w:ilvl w:val="0"/>
          <w:numId w:val="8"/>
        </w:numPr>
        <w:spacing w:before="240"/>
        <w:rPr>
          <w:sz w:val="22"/>
          <w:szCs w:val="22"/>
        </w:rPr>
      </w:pPr>
      <w:r>
        <w:rPr>
          <w:sz w:val="22"/>
          <w:szCs w:val="22"/>
        </w:rPr>
        <w:t>Accessibility</w:t>
      </w:r>
    </w:p>
    <w:p w14:paraId="231E5259" w14:textId="77777777" w:rsidR="00F0265E" w:rsidRPr="0096403C" w:rsidRDefault="00F0265E" w:rsidP="0096403C">
      <w:pPr>
        <w:pStyle w:val="BodyTextIndent"/>
        <w:numPr>
          <w:ilvl w:val="0"/>
          <w:numId w:val="8"/>
        </w:numPr>
        <w:spacing w:before="240"/>
        <w:rPr>
          <w:sz w:val="22"/>
          <w:szCs w:val="22"/>
        </w:rPr>
      </w:pPr>
      <w:r w:rsidRPr="0096403C">
        <w:rPr>
          <w:sz w:val="22"/>
          <w:szCs w:val="22"/>
        </w:rPr>
        <w:t>Research-informed teaching</w:t>
      </w:r>
    </w:p>
    <w:p w14:paraId="5D49E7E3" w14:textId="77777777" w:rsidR="00F0265E" w:rsidRPr="0096403C" w:rsidRDefault="00F0265E" w:rsidP="0096403C">
      <w:pPr>
        <w:pStyle w:val="BodyTextIndent"/>
        <w:numPr>
          <w:ilvl w:val="0"/>
          <w:numId w:val="8"/>
        </w:numPr>
        <w:spacing w:before="240"/>
        <w:rPr>
          <w:sz w:val="22"/>
          <w:szCs w:val="22"/>
        </w:rPr>
      </w:pPr>
      <w:r w:rsidRPr="0096403C">
        <w:rPr>
          <w:sz w:val="22"/>
          <w:szCs w:val="22"/>
        </w:rPr>
        <w:t>Peer observations arrangements/outcomes (if applicable)</w:t>
      </w:r>
    </w:p>
    <w:p w14:paraId="7751DB35" w14:textId="77777777" w:rsidR="00F0265E" w:rsidRPr="0096403C" w:rsidRDefault="00F0265E" w:rsidP="0096403C">
      <w:pPr>
        <w:pStyle w:val="BodyTextIndent"/>
        <w:numPr>
          <w:ilvl w:val="0"/>
          <w:numId w:val="8"/>
        </w:numPr>
        <w:spacing w:before="240"/>
        <w:rPr>
          <w:sz w:val="22"/>
          <w:szCs w:val="22"/>
        </w:rPr>
      </w:pPr>
      <w:r w:rsidRPr="0096403C">
        <w:rPr>
          <w:sz w:val="22"/>
          <w:szCs w:val="22"/>
        </w:rPr>
        <w:t>Tutorial support</w:t>
      </w:r>
    </w:p>
    <w:p w14:paraId="1A53881A" w14:textId="77777777" w:rsidR="00F0265E" w:rsidRPr="0096403C" w:rsidRDefault="00F0265E" w:rsidP="0096403C">
      <w:pPr>
        <w:pStyle w:val="BodyTextIndent"/>
        <w:numPr>
          <w:ilvl w:val="0"/>
          <w:numId w:val="8"/>
        </w:numPr>
        <w:spacing w:before="240"/>
        <w:rPr>
          <w:sz w:val="22"/>
          <w:szCs w:val="22"/>
        </w:rPr>
      </w:pPr>
      <w:r w:rsidRPr="0096403C">
        <w:rPr>
          <w:sz w:val="22"/>
          <w:szCs w:val="22"/>
        </w:rPr>
        <w:t>Staff development opportunities</w:t>
      </w:r>
    </w:p>
    <w:p w14:paraId="11990D10" w14:textId="20622F2C" w:rsidR="00F0265E" w:rsidRPr="0096403C" w:rsidRDefault="00C50C81" w:rsidP="0096403C">
      <w:pPr>
        <w:pStyle w:val="BodyTextIndent"/>
        <w:numPr>
          <w:ilvl w:val="0"/>
          <w:numId w:val="8"/>
        </w:numPr>
        <w:spacing w:before="240"/>
        <w:rPr>
          <w:sz w:val="22"/>
          <w:szCs w:val="22"/>
        </w:rPr>
      </w:pPr>
      <w:r>
        <w:rPr>
          <w:sz w:val="22"/>
          <w:szCs w:val="22"/>
        </w:rPr>
        <w:t xml:space="preserve">Examples of innovation and </w:t>
      </w:r>
      <w:r w:rsidR="00F0265E" w:rsidRPr="0096403C">
        <w:rPr>
          <w:sz w:val="22"/>
          <w:szCs w:val="22"/>
        </w:rPr>
        <w:t>good practice</w:t>
      </w:r>
    </w:p>
    <w:p w14:paraId="31478476" w14:textId="77777777" w:rsidR="006B62FC" w:rsidRPr="0096403C" w:rsidRDefault="006B62FC" w:rsidP="0096403C">
      <w:pPr>
        <w:pStyle w:val="BodyTextIndent"/>
        <w:numPr>
          <w:ilvl w:val="0"/>
          <w:numId w:val="7"/>
        </w:numPr>
        <w:spacing w:before="240"/>
        <w:ind w:hanging="357"/>
        <w:contextualSpacing w:val="0"/>
        <w:rPr>
          <w:b/>
          <w:sz w:val="22"/>
          <w:szCs w:val="22"/>
        </w:rPr>
      </w:pPr>
      <w:r w:rsidRPr="0096403C">
        <w:rPr>
          <w:b/>
          <w:sz w:val="22"/>
          <w:szCs w:val="22"/>
        </w:rPr>
        <w:t>Assessment and Feedback</w:t>
      </w:r>
    </w:p>
    <w:p w14:paraId="1FB1610F" w14:textId="77777777" w:rsidR="006B62FC" w:rsidRPr="0096403C" w:rsidRDefault="006B62FC" w:rsidP="0096403C">
      <w:pPr>
        <w:pStyle w:val="BodyTextIndent"/>
        <w:spacing w:before="240"/>
        <w:ind w:left="1440"/>
        <w:rPr>
          <w:sz w:val="22"/>
          <w:szCs w:val="22"/>
        </w:rPr>
      </w:pPr>
      <w:r w:rsidRPr="0096403C">
        <w:rPr>
          <w:sz w:val="22"/>
          <w:szCs w:val="22"/>
        </w:rPr>
        <w:t>Reflection on the effectiveness of assessment methods, including</w:t>
      </w:r>
    </w:p>
    <w:p w14:paraId="72E54D25" w14:textId="77777777" w:rsidR="006B62FC" w:rsidRPr="0096403C" w:rsidRDefault="006B62FC" w:rsidP="0096403C">
      <w:pPr>
        <w:pStyle w:val="BodyTextIndent"/>
        <w:numPr>
          <w:ilvl w:val="0"/>
          <w:numId w:val="9"/>
        </w:numPr>
        <w:spacing w:before="240"/>
        <w:rPr>
          <w:sz w:val="22"/>
          <w:szCs w:val="22"/>
        </w:rPr>
      </w:pPr>
      <w:r w:rsidRPr="0096403C">
        <w:rPr>
          <w:sz w:val="22"/>
          <w:szCs w:val="22"/>
        </w:rPr>
        <w:t>Inclusivity of assessment design</w:t>
      </w:r>
    </w:p>
    <w:p w14:paraId="61CD7655" w14:textId="77777777" w:rsidR="006B62FC" w:rsidRPr="0096403C" w:rsidRDefault="006B62FC" w:rsidP="0096403C">
      <w:pPr>
        <w:pStyle w:val="BodyTextIndent"/>
        <w:numPr>
          <w:ilvl w:val="0"/>
          <w:numId w:val="9"/>
        </w:numPr>
        <w:spacing w:before="240"/>
        <w:rPr>
          <w:sz w:val="22"/>
          <w:szCs w:val="22"/>
        </w:rPr>
      </w:pPr>
      <w:r w:rsidRPr="0096403C">
        <w:rPr>
          <w:sz w:val="22"/>
          <w:szCs w:val="22"/>
        </w:rPr>
        <w:t>Relationship of assessment to learning outcomes</w:t>
      </w:r>
      <w:r w:rsidR="001C0D23" w:rsidRPr="0096403C">
        <w:rPr>
          <w:sz w:val="22"/>
          <w:szCs w:val="22"/>
        </w:rPr>
        <w:t xml:space="preserve"> (including a map)</w:t>
      </w:r>
    </w:p>
    <w:p w14:paraId="22417851" w14:textId="77777777" w:rsidR="006B62FC" w:rsidRPr="0096403C" w:rsidRDefault="006B62FC" w:rsidP="0096403C">
      <w:pPr>
        <w:pStyle w:val="BodyTextIndent"/>
        <w:numPr>
          <w:ilvl w:val="0"/>
          <w:numId w:val="9"/>
        </w:numPr>
        <w:spacing w:before="240"/>
        <w:rPr>
          <w:sz w:val="22"/>
          <w:szCs w:val="22"/>
        </w:rPr>
      </w:pPr>
      <w:r w:rsidRPr="0096403C">
        <w:rPr>
          <w:sz w:val="22"/>
          <w:szCs w:val="22"/>
        </w:rPr>
        <w:t>Volume of assessment</w:t>
      </w:r>
    </w:p>
    <w:p w14:paraId="44B1824F" w14:textId="77777777" w:rsidR="006B62FC" w:rsidRPr="0096403C" w:rsidRDefault="006B62FC" w:rsidP="0096403C">
      <w:pPr>
        <w:pStyle w:val="BodyTextIndent"/>
        <w:numPr>
          <w:ilvl w:val="0"/>
          <w:numId w:val="9"/>
        </w:numPr>
        <w:spacing w:before="240"/>
        <w:rPr>
          <w:sz w:val="22"/>
          <w:szCs w:val="22"/>
        </w:rPr>
      </w:pPr>
      <w:r w:rsidRPr="0096403C">
        <w:rPr>
          <w:sz w:val="22"/>
          <w:szCs w:val="22"/>
        </w:rPr>
        <w:t>Assessment and feedback literacy amongst students</w:t>
      </w:r>
    </w:p>
    <w:p w14:paraId="68E0E418" w14:textId="77777777" w:rsidR="006B62FC" w:rsidRPr="0096403C" w:rsidRDefault="006B62FC" w:rsidP="0096403C">
      <w:pPr>
        <w:pStyle w:val="BodyTextIndent"/>
        <w:numPr>
          <w:ilvl w:val="0"/>
          <w:numId w:val="9"/>
        </w:numPr>
        <w:spacing w:before="240"/>
        <w:rPr>
          <w:sz w:val="22"/>
          <w:szCs w:val="22"/>
        </w:rPr>
      </w:pPr>
      <w:r w:rsidRPr="0096403C">
        <w:rPr>
          <w:sz w:val="22"/>
          <w:szCs w:val="22"/>
        </w:rPr>
        <w:t>Resit (retake) arrangements</w:t>
      </w:r>
    </w:p>
    <w:p w14:paraId="169B4CEE" w14:textId="77777777" w:rsidR="001C0D23" w:rsidRPr="0096403C" w:rsidRDefault="001C0D23" w:rsidP="0096403C">
      <w:pPr>
        <w:pStyle w:val="BodyTextIndent"/>
        <w:spacing w:before="240"/>
        <w:rPr>
          <w:sz w:val="22"/>
          <w:szCs w:val="22"/>
        </w:rPr>
      </w:pPr>
    </w:p>
    <w:p w14:paraId="5EE302A0" w14:textId="77777777" w:rsidR="001C0D23" w:rsidRPr="0096403C" w:rsidRDefault="001C0D23" w:rsidP="0096403C">
      <w:pPr>
        <w:pStyle w:val="BodyTextIndent"/>
        <w:numPr>
          <w:ilvl w:val="0"/>
          <w:numId w:val="7"/>
        </w:numPr>
        <w:spacing w:before="240"/>
        <w:ind w:left="1434" w:hanging="357"/>
        <w:contextualSpacing w:val="0"/>
        <w:rPr>
          <w:b/>
          <w:sz w:val="22"/>
          <w:szCs w:val="22"/>
        </w:rPr>
      </w:pPr>
      <w:r w:rsidRPr="0096403C">
        <w:rPr>
          <w:b/>
          <w:sz w:val="22"/>
          <w:szCs w:val="22"/>
        </w:rPr>
        <w:t>Progression and achievement</w:t>
      </w:r>
    </w:p>
    <w:p w14:paraId="45E8AEDC" w14:textId="77777777" w:rsidR="001C0D23" w:rsidRPr="0096403C" w:rsidRDefault="001C0D23" w:rsidP="0096403C">
      <w:pPr>
        <w:pStyle w:val="BodyTextIndent"/>
        <w:spacing w:before="240"/>
        <w:ind w:left="1440"/>
        <w:rPr>
          <w:sz w:val="22"/>
          <w:szCs w:val="22"/>
        </w:rPr>
      </w:pPr>
      <w:r w:rsidRPr="0096403C">
        <w:rPr>
          <w:sz w:val="22"/>
          <w:szCs w:val="22"/>
        </w:rPr>
        <w:t>Reflection on retention, progression and achievement rates over the last 5 years, including:</w:t>
      </w:r>
    </w:p>
    <w:p w14:paraId="0A88F5A2" w14:textId="77777777" w:rsidR="001C0D23" w:rsidRPr="0096403C" w:rsidRDefault="001C0D23" w:rsidP="0096403C">
      <w:pPr>
        <w:pStyle w:val="BodyTextIndent"/>
        <w:numPr>
          <w:ilvl w:val="0"/>
          <w:numId w:val="11"/>
        </w:numPr>
        <w:spacing w:before="240"/>
        <w:rPr>
          <w:sz w:val="22"/>
          <w:szCs w:val="22"/>
        </w:rPr>
      </w:pPr>
      <w:r w:rsidRPr="0096403C">
        <w:rPr>
          <w:sz w:val="22"/>
          <w:szCs w:val="22"/>
        </w:rPr>
        <w:t>Identification of any significant attainment gaps and measures to close these</w:t>
      </w:r>
    </w:p>
    <w:p w14:paraId="4343F4CF" w14:textId="77777777" w:rsidR="001C0D23" w:rsidRPr="0096403C" w:rsidRDefault="001C0D23" w:rsidP="0096403C">
      <w:pPr>
        <w:pStyle w:val="BodyTextIndent"/>
        <w:numPr>
          <w:ilvl w:val="0"/>
          <w:numId w:val="11"/>
        </w:numPr>
        <w:spacing w:before="240"/>
        <w:rPr>
          <w:sz w:val="22"/>
          <w:szCs w:val="22"/>
        </w:rPr>
      </w:pPr>
      <w:r w:rsidRPr="0096403C">
        <w:rPr>
          <w:sz w:val="22"/>
          <w:szCs w:val="22"/>
        </w:rPr>
        <w:t>Strategies to support student retention</w:t>
      </w:r>
    </w:p>
    <w:p w14:paraId="21138271" w14:textId="77777777" w:rsidR="001C0D23" w:rsidRPr="0096403C" w:rsidRDefault="001C0D23" w:rsidP="0096403C">
      <w:pPr>
        <w:pStyle w:val="BodyTextIndent"/>
        <w:numPr>
          <w:ilvl w:val="0"/>
          <w:numId w:val="11"/>
        </w:numPr>
        <w:spacing w:before="240"/>
        <w:ind w:hanging="357"/>
        <w:contextualSpacing w:val="0"/>
        <w:rPr>
          <w:sz w:val="22"/>
          <w:szCs w:val="22"/>
        </w:rPr>
      </w:pPr>
      <w:r w:rsidRPr="0096403C">
        <w:rPr>
          <w:sz w:val="22"/>
          <w:szCs w:val="22"/>
        </w:rPr>
        <w:t>Comments on any significant variation in the number of good degrees (1</w:t>
      </w:r>
      <w:r w:rsidRPr="0096403C">
        <w:rPr>
          <w:sz w:val="22"/>
          <w:szCs w:val="22"/>
          <w:vertAlign w:val="superscript"/>
        </w:rPr>
        <w:t>st</w:t>
      </w:r>
      <w:r w:rsidRPr="0096403C">
        <w:rPr>
          <w:sz w:val="22"/>
          <w:szCs w:val="22"/>
        </w:rPr>
        <w:t xml:space="preserve"> and 2:1) over the past 5 years</w:t>
      </w:r>
    </w:p>
    <w:p w14:paraId="047FE958" w14:textId="77777777" w:rsidR="006B62FC" w:rsidRPr="0096403C" w:rsidRDefault="006B62FC" w:rsidP="0096403C">
      <w:pPr>
        <w:pStyle w:val="BodyTextIndent"/>
        <w:numPr>
          <w:ilvl w:val="0"/>
          <w:numId w:val="7"/>
        </w:numPr>
        <w:spacing w:before="240"/>
        <w:ind w:hanging="357"/>
        <w:contextualSpacing w:val="0"/>
        <w:rPr>
          <w:b/>
          <w:sz w:val="22"/>
          <w:szCs w:val="22"/>
        </w:rPr>
      </w:pPr>
      <w:r w:rsidRPr="0096403C">
        <w:rPr>
          <w:b/>
          <w:sz w:val="22"/>
          <w:szCs w:val="22"/>
        </w:rPr>
        <w:t>Student Voice</w:t>
      </w:r>
    </w:p>
    <w:p w14:paraId="3A27829A" w14:textId="77777777" w:rsidR="006B62FC" w:rsidRPr="0096403C" w:rsidRDefault="006B62FC" w:rsidP="0096403C">
      <w:pPr>
        <w:pStyle w:val="BodyTextIndent"/>
        <w:spacing w:before="240"/>
        <w:ind w:left="1440"/>
        <w:rPr>
          <w:sz w:val="22"/>
          <w:szCs w:val="22"/>
        </w:rPr>
      </w:pPr>
      <w:r w:rsidRPr="0096403C">
        <w:rPr>
          <w:sz w:val="22"/>
          <w:szCs w:val="22"/>
        </w:rPr>
        <w:t>Reflection on the contribution of students to the design and delivery of the programme, including</w:t>
      </w:r>
    </w:p>
    <w:p w14:paraId="18CA192D" w14:textId="77777777" w:rsidR="006B62FC" w:rsidRPr="0096403C" w:rsidRDefault="006B62FC" w:rsidP="0096403C">
      <w:pPr>
        <w:pStyle w:val="BodyTextIndent"/>
        <w:numPr>
          <w:ilvl w:val="0"/>
          <w:numId w:val="10"/>
        </w:numPr>
        <w:spacing w:before="240"/>
        <w:rPr>
          <w:sz w:val="22"/>
          <w:szCs w:val="22"/>
        </w:rPr>
      </w:pPr>
      <w:r w:rsidRPr="0096403C">
        <w:rPr>
          <w:sz w:val="22"/>
          <w:szCs w:val="22"/>
        </w:rPr>
        <w:t>Examples of any amendments/enhancements made as a result of student feedback</w:t>
      </w:r>
    </w:p>
    <w:p w14:paraId="74BEF2FC" w14:textId="12A4A996" w:rsidR="00F0265E" w:rsidRPr="0096403C" w:rsidRDefault="006B62FC" w:rsidP="0096403C">
      <w:pPr>
        <w:pStyle w:val="BodyTextIndent"/>
        <w:numPr>
          <w:ilvl w:val="0"/>
          <w:numId w:val="10"/>
        </w:numPr>
        <w:spacing w:before="240"/>
        <w:rPr>
          <w:sz w:val="22"/>
          <w:szCs w:val="22"/>
        </w:rPr>
      </w:pPr>
      <w:r w:rsidRPr="0096403C">
        <w:rPr>
          <w:sz w:val="22"/>
          <w:szCs w:val="22"/>
        </w:rPr>
        <w:t>Student contribution to the programme review process</w:t>
      </w:r>
    </w:p>
    <w:p w14:paraId="6785D553" w14:textId="3891E0CB" w:rsidR="001C0D23" w:rsidRDefault="001C0D23" w:rsidP="0096403C">
      <w:pPr>
        <w:pStyle w:val="Heading4"/>
        <w:spacing w:after="200"/>
      </w:pPr>
      <w:r>
        <w:t>Student Experience</w:t>
      </w:r>
    </w:p>
    <w:p w14:paraId="385F237C" w14:textId="78D0222E" w:rsidR="000577A7" w:rsidRPr="0096403C" w:rsidRDefault="004A27B2" w:rsidP="0096403C">
      <w:pPr>
        <w:pStyle w:val="BodyText"/>
        <w:rPr>
          <w:rFonts w:asciiTheme="minorHAnsi" w:hAnsiTheme="minorHAnsi" w:cstheme="minorHAnsi"/>
          <w:sz w:val="22"/>
        </w:rPr>
      </w:pPr>
      <w:r w:rsidRPr="0096403C">
        <w:rPr>
          <w:rFonts w:asciiTheme="minorHAnsi" w:hAnsiTheme="minorHAnsi" w:cstheme="minorHAnsi"/>
          <w:sz w:val="22"/>
        </w:rPr>
        <w:t>A</w:t>
      </w:r>
      <w:r w:rsidR="000577A7" w:rsidRPr="0096403C">
        <w:rPr>
          <w:rFonts w:asciiTheme="minorHAnsi" w:hAnsiTheme="minorHAnsi" w:cstheme="minorHAnsi"/>
          <w:sz w:val="22"/>
        </w:rPr>
        <w:t>n evaluation of the quality of the learning experience and any developments that have occurred during the last period of validation</w:t>
      </w:r>
      <w:r w:rsidR="00206D79" w:rsidRPr="0096403C">
        <w:rPr>
          <w:rFonts w:asciiTheme="minorHAnsi" w:hAnsiTheme="minorHAnsi" w:cstheme="minorHAnsi"/>
          <w:sz w:val="22"/>
        </w:rPr>
        <w:t xml:space="preserve">, to </w:t>
      </w:r>
      <w:r w:rsidR="000577A7" w:rsidRPr="0096403C">
        <w:rPr>
          <w:rFonts w:asciiTheme="minorHAnsi" w:hAnsiTheme="minorHAnsi" w:cstheme="minorHAnsi"/>
          <w:sz w:val="22"/>
        </w:rPr>
        <w:t>include:</w:t>
      </w:r>
    </w:p>
    <w:p w14:paraId="34E126DC" w14:textId="77777777" w:rsidR="000577A7" w:rsidRPr="0096403C" w:rsidRDefault="000577A7" w:rsidP="000577A7">
      <w:pPr>
        <w:pStyle w:val="BodyTextIndent"/>
        <w:numPr>
          <w:ilvl w:val="0"/>
          <w:numId w:val="1"/>
        </w:numPr>
        <w:ind w:left="1418" w:hanging="425"/>
        <w:rPr>
          <w:rFonts w:asciiTheme="minorHAnsi" w:hAnsiTheme="minorHAnsi" w:cstheme="minorHAnsi"/>
          <w:b/>
          <w:sz w:val="22"/>
          <w:szCs w:val="22"/>
        </w:rPr>
      </w:pPr>
      <w:r w:rsidRPr="0096403C">
        <w:rPr>
          <w:rFonts w:asciiTheme="minorHAnsi" w:hAnsiTheme="minorHAnsi" w:cstheme="minorHAnsi"/>
          <w:b/>
          <w:sz w:val="22"/>
          <w:szCs w:val="22"/>
        </w:rPr>
        <w:lastRenderedPageBreak/>
        <w:t>Learning Resources</w:t>
      </w:r>
    </w:p>
    <w:p w14:paraId="3C9CA575" w14:textId="483F2353" w:rsidR="000577A7" w:rsidRPr="0096403C" w:rsidRDefault="00206D79" w:rsidP="000577A7">
      <w:pPr>
        <w:pStyle w:val="BodyText"/>
        <w:ind w:left="1418"/>
        <w:rPr>
          <w:rFonts w:asciiTheme="minorHAnsi" w:hAnsiTheme="minorHAnsi" w:cstheme="minorHAnsi"/>
          <w:sz w:val="22"/>
        </w:rPr>
      </w:pPr>
      <w:r w:rsidRPr="0096403C">
        <w:rPr>
          <w:rFonts w:asciiTheme="minorHAnsi" w:hAnsiTheme="minorHAnsi" w:cstheme="minorHAnsi"/>
          <w:sz w:val="22"/>
        </w:rPr>
        <w:t>Reflection on the adequacy of learning resources and any planned enhancements, including:</w:t>
      </w:r>
    </w:p>
    <w:p w14:paraId="608443AE" w14:textId="393AF3E1" w:rsidR="00206D79" w:rsidRPr="0096403C" w:rsidRDefault="000577A7"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teaching and learning space</w:t>
      </w:r>
      <w:r w:rsidR="00206D79" w:rsidRPr="0096403C">
        <w:rPr>
          <w:rFonts w:asciiTheme="minorHAnsi" w:hAnsiTheme="minorHAnsi" w:cstheme="minorHAnsi"/>
          <w:sz w:val="22"/>
          <w:szCs w:val="22"/>
        </w:rPr>
        <w:t>s (particularly those specific to the programme)</w:t>
      </w:r>
      <w:r w:rsidRPr="0096403C">
        <w:rPr>
          <w:rFonts w:asciiTheme="minorHAnsi" w:hAnsiTheme="minorHAnsi" w:cstheme="minorHAnsi"/>
          <w:sz w:val="22"/>
          <w:szCs w:val="22"/>
        </w:rPr>
        <w:t xml:space="preserve"> </w:t>
      </w:r>
    </w:p>
    <w:p w14:paraId="4D2563AB" w14:textId="0549DD15" w:rsidR="000577A7" w:rsidRPr="0096403C" w:rsidRDefault="000577A7"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library</w:t>
      </w:r>
      <w:r w:rsidR="00206D79" w:rsidRPr="0096403C">
        <w:rPr>
          <w:rFonts w:asciiTheme="minorHAnsi" w:hAnsiTheme="minorHAnsi" w:cstheme="minorHAnsi"/>
          <w:sz w:val="22"/>
          <w:szCs w:val="22"/>
        </w:rPr>
        <w:t xml:space="preserve">, </w:t>
      </w:r>
      <w:r w:rsidRPr="0096403C">
        <w:rPr>
          <w:rFonts w:asciiTheme="minorHAnsi" w:hAnsiTheme="minorHAnsi" w:cstheme="minorHAnsi"/>
          <w:sz w:val="22"/>
          <w:szCs w:val="22"/>
        </w:rPr>
        <w:t>IT</w:t>
      </w:r>
      <w:r w:rsidR="00206D79" w:rsidRPr="0096403C">
        <w:rPr>
          <w:rFonts w:asciiTheme="minorHAnsi" w:hAnsiTheme="minorHAnsi" w:cstheme="minorHAnsi"/>
          <w:sz w:val="22"/>
          <w:szCs w:val="22"/>
        </w:rPr>
        <w:t xml:space="preserve"> and AV</w:t>
      </w:r>
      <w:r w:rsidRPr="0096403C">
        <w:rPr>
          <w:rFonts w:asciiTheme="minorHAnsi" w:hAnsiTheme="minorHAnsi" w:cstheme="minorHAnsi"/>
          <w:sz w:val="22"/>
          <w:szCs w:val="22"/>
        </w:rPr>
        <w:t xml:space="preserve"> provision</w:t>
      </w:r>
    </w:p>
    <w:p w14:paraId="2E6D81D2" w14:textId="7DB3167D" w:rsidR="000577A7" w:rsidRPr="0096403C" w:rsidRDefault="00206D79"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Performance spaces and production support (where applicable)</w:t>
      </w:r>
    </w:p>
    <w:p w14:paraId="1794ED6D" w14:textId="16100797" w:rsidR="000577A7" w:rsidRPr="0096403C" w:rsidRDefault="00206D79"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virtual learning environments</w:t>
      </w:r>
    </w:p>
    <w:p w14:paraId="488D5749" w14:textId="77777777" w:rsidR="000577A7" w:rsidRPr="0096403C" w:rsidRDefault="000577A7" w:rsidP="000577A7">
      <w:pPr>
        <w:pStyle w:val="BodyTextIndent"/>
        <w:numPr>
          <w:ilvl w:val="0"/>
          <w:numId w:val="1"/>
        </w:numPr>
        <w:ind w:left="1418" w:hanging="425"/>
        <w:rPr>
          <w:rFonts w:asciiTheme="minorHAnsi" w:hAnsiTheme="minorHAnsi" w:cstheme="minorHAnsi"/>
          <w:b/>
          <w:sz w:val="22"/>
          <w:szCs w:val="22"/>
        </w:rPr>
      </w:pPr>
      <w:r w:rsidRPr="0096403C">
        <w:rPr>
          <w:rFonts w:asciiTheme="minorHAnsi" w:hAnsiTheme="minorHAnsi" w:cstheme="minorHAnsi"/>
          <w:b/>
          <w:sz w:val="22"/>
          <w:szCs w:val="22"/>
        </w:rPr>
        <w:t>Student support</w:t>
      </w:r>
    </w:p>
    <w:p w14:paraId="31E143C3" w14:textId="394F6CFD" w:rsidR="00206D79" w:rsidRPr="0096403C" w:rsidRDefault="00206D79" w:rsidP="0096403C">
      <w:pPr>
        <w:pStyle w:val="BodyText"/>
        <w:ind w:left="1418"/>
        <w:rPr>
          <w:rFonts w:asciiTheme="minorHAnsi" w:hAnsiTheme="minorHAnsi" w:cstheme="minorHAnsi"/>
          <w:sz w:val="22"/>
        </w:rPr>
      </w:pPr>
      <w:r w:rsidRPr="0096403C">
        <w:rPr>
          <w:rFonts w:asciiTheme="minorHAnsi" w:hAnsiTheme="minorHAnsi" w:cstheme="minorHAnsi"/>
          <w:sz w:val="22"/>
        </w:rPr>
        <w:t>Reflection on the effectiveness of</w:t>
      </w:r>
      <w:r w:rsidR="000577A7" w:rsidRPr="0096403C">
        <w:rPr>
          <w:rFonts w:asciiTheme="minorHAnsi" w:hAnsiTheme="minorHAnsi" w:cstheme="minorHAnsi"/>
          <w:sz w:val="22"/>
        </w:rPr>
        <w:t xml:space="preserve"> mechanisms for student support</w:t>
      </w:r>
      <w:r w:rsidRPr="0096403C">
        <w:rPr>
          <w:rFonts w:asciiTheme="minorHAnsi" w:hAnsiTheme="minorHAnsi" w:cstheme="minorHAnsi"/>
          <w:sz w:val="22"/>
        </w:rPr>
        <w:t>, including:</w:t>
      </w:r>
      <w:r w:rsidR="000577A7" w:rsidRPr="0096403C">
        <w:rPr>
          <w:rFonts w:asciiTheme="minorHAnsi" w:hAnsiTheme="minorHAnsi" w:cstheme="minorHAnsi"/>
          <w:sz w:val="22"/>
        </w:rPr>
        <w:t xml:space="preserve"> </w:t>
      </w:r>
    </w:p>
    <w:p w14:paraId="2B6AA12A" w14:textId="77777777" w:rsidR="000577A7" w:rsidRPr="0096403C" w:rsidRDefault="000577A7"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personal tutorial support</w:t>
      </w:r>
    </w:p>
    <w:p w14:paraId="3335D780" w14:textId="77777777" w:rsidR="000577A7" w:rsidRPr="0096403C" w:rsidRDefault="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counselling</w:t>
      </w:r>
    </w:p>
    <w:p w14:paraId="33992956" w14:textId="77777777" w:rsidR="000577A7" w:rsidRPr="0096403C" w:rsidRDefault="000577A7"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support for students with a disability</w:t>
      </w:r>
    </w:p>
    <w:p w14:paraId="15D387EF" w14:textId="22561849" w:rsidR="000577A7" w:rsidRPr="0096403C" w:rsidRDefault="000577A7"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 xml:space="preserve">English </w:t>
      </w:r>
      <w:r w:rsidR="00206D79" w:rsidRPr="0096403C">
        <w:rPr>
          <w:rFonts w:asciiTheme="minorHAnsi" w:hAnsiTheme="minorHAnsi" w:cstheme="minorHAnsi"/>
          <w:sz w:val="22"/>
          <w:szCs w:val="22"/>
        </w:rPr>
        <w:t>for academic purposes</w:t>
      </w:r>
    </w:p>
    <w:p w14:paraId="6F129E6F" w14:textId="5BEE661C" w:rsidR="000577A7" w:rsidRPr="0096403C" w:rsidRDefault="00206D79" w:rsidP="000577A7">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c</w:t>
      </w:r>
      <w:r w:rsidR="000577A7" w:rsidRPr="0096403C">
        <w:rPr>
          <w:rFonts w:asciiTheme="minorHAnsi" w:hAnsiTheme="minorHAnsi" w:cstheme="minorHAnsi"/>
          <w:sz w:val="22"/>
          <w:szCs w:val="22"/>
        </w:rPr>
        <w:t>areers</w:t>
      </w:r>
      <w:r w:rsidRPr="0096403C">
        <w:rPr>
          <w:rFonts w:asciiTheme="minorHAnsi" w:hAnsiTheme="minorHAnsi" w:cstheme="minorHAnsi"/>
          <w:sz w:val="22"/>
          <w:szCs w:val="22"/>
        </w:rPr>
        <w:t xml:space="preserve"> support</w:t>
      </w:r>
    </w:p>
    <w:p w14:paraId="3854F485" w14:textId="4348E254" w:rsidR="00206D79" w:rsidRPr="0096403C" w:rsidRDefault="00206D79">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Support for placements and WBL</w:t>
      </w:r>
    </w:p>
    <w:p w14:paraId="2E35773F" w14:textId="77777777" w:rsidR="00206D79" w:rsidRPr="0096403C" w:rsidRDefault="00206D79">
      <w:pPr>
        <w:pStyle w:val="BodyTextIndent2"/>
        <w:numPr>
          <w:ilvl w:val="2"/>
          <w:numId w:val="2"/>
        </w:numPr>
        <w:spacing w:after="60"/>
        <w:ind w:left="2154" w:hanging="357"/>
        <w:rPr>
          <w:rFonts w:asciiTheme="minorHAnsi" w:hAnsiTheme="minorHAnsi" w:cstheme="minorHAnsi"/>
          <w:sz w:val="22"/>
          <w:szCs w:val="22"/>
        </w:rPr>
      </w:pPr>
      <w:r w:rsidRPr="0096403C">
        <w:rPr>
          <w:rFonts w:asciiTheme="minorHAnsi" w:hAnsiTheme="minorHAnsi" w:cstheme="minorHAnsi"/>
          <w:sz w:val="22"/>
          <w:szCs w:val="22"/>
        </w:rPr>
        <w:t>Opportunities for volunteering and extra-curricular activities</w:t>
      </w:r>
    </w:p>
    <w:p w14:paraId="588AF141" w14:textId="185F54F5" w:rsidR="00206D79" w:rsidRPr="0096403C" w:rsidRDefault="000577A7" w:rsidP="0096403C">
      <w:pPr>
        <w:pStyle w:val="BodyTextIndent2"/>
        <w:numPr>
          <w:ilvl w:val="2"/>
          <w:numId w:val="2"/>
        </w:numPr>
        <w:spacing w:after="200"/>
        <w:ind w:left="2154" w:hanging="357"/>
        <w:rPr>
          <w:rFonts w:asciiTheme="minorHAnsi" w:hAnsiTheme="minorHAnsi" w:cstheme="minorHAnsi"/>
          <w:color w:val="auto"/>
          <w:sz w:val="22"/>
          <w:szCs w:val="22"/>
        </w:rPr>
      </w:pPr>
      <w:r w:rsidRPr="0096403C">
        <w:rPr>
          <w:rFonts w:asciiTheme="minorHAnsi" w:hAnsiTheme="minorHAnsi" w:cstheme="minorHAnsi"/>
          <w:sz w:val="22"/>
          <w:szCs w:val="22"/>
        </w:rPr>
        <w:t>any other relevant support mechanisms</w:t>
      </w:r>
    </w:p>
    <w:p w14:paraId="65562619" w14:textId="15A1FD51" w:rsidR="00206D79" w:rsidRDefault="004A27B2" w:rsidP="0096403C">
      <w:pPr>
        <w:pStyle w:val="Heading4"/>
        <w:rPr>
          <w:b/>
          <w:bCs/>
        </w:rPr>
      </w:pPr>
      <w:r>
        <w:t>Summary of proposed changes and action plan</w:t>
      </w:r>
    </w:p>
    <w:p w14:paraId="350084F8" w14:textId="77777777" w:rsidR="00206D79" w:rsidRDefault="00206D79" w:rsidP="0096403C">
      <w:pPr>
        <w:pStyle w:val="BodyTextIndent"/>
        <w:rPr>
          <w:b/>
          <w:bCs/>
          <w:color w:val="auto"/>
        </w:rPr>
      </w:pPr>
    </w:p>
    <w:p w14:paraId="6FF9E98B" w14:textId="5A355ED0" w:rsidR="000577A7" w:rsidRPr="0096403C" w:rsidRDefault="000577A7" w:rsidP="0096403C">
      <w:pPr>
        <w:pStyle w:val="BodyTextIndent"/>
        <w:ind w:left="0"/>
        <w:contextualSpacing w:val="0"/>
        <w:rPr>
          <w:color w:val="auto"/>
          <w:sz w:val="22"/>
          <w:szCs w:val="22"/>
        </w:rPr>
      </w:pPr>
      <w:r w:rsidRPr="0096403C">
        <w:rPr>
          <w:color w:val="auto"/>
          <w:sz w:val="22"/>
          <w:szCs w:val="22"/>
        </w:rPr>
        <w:t xml:space="preserve">A </w:t>
      </w:r>
      <w:r w:rsidR="004A27B2" w:rsidRPr="0096403C">
        <w:rPr>
          <w:color w:val="auto"/>
          <w:sz w:val="22"/>
          <w:szCs w:val="22"/>
        </w:rPr>
        <w:t>brief summary of the changes proposed to the programme and an action plan addressing any issues emerging from the period</w:t>
      </w:r>
      <w:r w:rsidR="002D6B35">
        <w:rPr>
          <w:color w:val="auto"/>
          <w:sz w:val="22"/>
          <w:szCs w:val="22"/>
        </w:rPr>
        <w:t>ic</w:t>
      </w:r>
      <w:r w:rsidR="004A27B2" w:rsidRPr="0096403C">
        <w:rPr>
          <w:color w:val="auto"/>
          <w:sz w:val="22"/>
          <w:szCs w:val="22"/>
        </w:rPr>
        <w:t xml:space="preserve"> review exercise. The action plan should be monitored by the relevant </w:t>
      </w:r>
      <w:r w:rsidR="00314113">
        <w:rPr>
          <w:color w:val="auto"/>
          <w:sz w:val="22"/>
          <w:szCs w:val="22"/>
        </w:rPr>
        <w:t>Faculty Quality</w:t>
      </w:r>
      <w:r w:rsidR="004A27B2" w:rsidRPr="0096403C">
        <w:rPr>
          <w:color w:val="auto"/>
          <w:sz w:val="22"/>
          <w:szCs w:val="22"/>
        </w:rPr>
        <w:t xml:space="preserve"> </w:t>
      </w:r>
      <w:r w:rsidR="00314113">
        <w:rPr>
          <w:color w:val="auto"/>
          <w:sz w:val="22"/>
          <w:szCs w:val="22"/>
        </w:rPr>
        <w:t>C</w:t>
      </w:r>
      <w:bookmarkStart w:id="1" w:name="_GoBack"/>
      <w:bookmarkEnd w:id="1"/>
      <w:r w:rsidR="004A27B2" w:rsidRPr="0096403C">
        <w:rPr>
          <w:color w:val="auto"/>
          <w:sz w:val="22"/>
          <w:szCs w:val="22"/>
        </w:rPr>
        <w:t xml:space="preserve">ommittee and any outstanding actions picked up in the following year’s annual programme evaluation (APE). </w:t>
      </w:r>
      <w:r w:rsidRPr="0096403C">
        <w:rPr>
          <w:color w:val="auto"/>
          <w:sz w:val="22"/>
          <w:szCs w:val="22"/>
        </w:rPr>
        <w:t xml:space="preserve"> </w:t>
      </w:r>
    </w:p>
    <w:p w14:paraId="61817653" w14:textId="77777777" w:rsidR="00AE58C7" w:rsidRDefault="00AE58C7" w:rsidP="0096403C">
      <w:pPr>
        <w:pStyle w:val="Heading3"/>
      </w:pPr>
      <w:r>
        <w:t>1.2.3</w:t>
      </w:r>
      <w:r>
        <w:tab/>
        <w:t>Programme and Module Specifications:</w:t>
      </w:r>
    </w:p>
    <w:p w14:paraId="5E999926" w14:textId="77777777" w:rsidR="00E00239" w:rsidRDefault="00E00239" w:rsidP="0096403C">
      <w:pPr>
        <w:pStyle w:val="BodyTextIndent"/>
        <w:rPr>
          <w:color w:val="auto"/>
        </w:rPr>
      </w:pPr>
    </w:p>
    <w:p w14:paraId="64886414" w14:textId="310D198A" w:rsidR="00AE58C7" w:rsidRPr="0096403C" w:rsidRDefault="00AE58C7" w:rsidP="0096403C">
      <w:pPr>
        <w:pStyle w:val="BodyTextIndent"/>
        <w:ind w:left="0"/>
        <w:rPr>
          <w:color w:val="auto"/>
          <w:sz w:val="22"/>
          <w:szCs w:val="22"/>
        </w:rPr>
      </w:pPr>
      <w:r w:rsidRPr="0096403C">
        <w:rPr>
          <w:color w:val="auto"/>
          <w:sz w:val="22"/>
          <w:szCs w:val="22"/>
        </w:rPr>
        <w:t>All programme and module specifications, including any proposed changes, must be included using the relevant templates.</w:t>
      </w:r>
    </w:p>
    <w:p w14:paraId="0C79FA8E" w14:textId="5DFEB44A" w:rsidR="00E00239" w:rsidRPr="0096403C" w:rsidRDefault="000577A7" w:rsidP="0096403C">
      <w:pPr>
        <w:pStyle w:val="Heading3"/>
        <w:spacing w:after="120"/>
      </w:pPr>
      <w:r w:rsidRPr="0096403C">
        <w:rPr>
          <w:rStyle w:val="Heading2Char"/>
          <w:sz w:val="28"/>
          <w:szCs w:val="28"/>
        </w:rPr>
        <w:t>1.2.</w:t>
      </w:r>
      <w:r w:rsidR="00AE58C7" w:rsidRPr="0096403C">
        <w:rPr>
          <w:rStyle w:val="Heading2Char"/>
          <w:sz w:val="28"/>
          <w:szCs w:val="28"/>
        </w:rPr>
        <w:t>4</w:t>
      </w:r>
      <w:r w:rsidRPr="0096403C">
        <w:rPr>
          <w:rStyle w:val="Heading2Char"/>
          <w:sz w:val="28"/>
          <w:szCs w:val="28"/>
        </w:rPr>
        <w:tab/>
      </w:r>
      <w:r w:rsidR="00E00239" w:rsidRPr="0096403C">
        <w:rPr>
          <w:rStyle w:val="Heading2Char"/>
          <w:sz w:val="28"/>
          <w:szCs w:val="28"/>
        </w:rPr>
        <w:t xml:space="preserve"> </w:t>
      </w:r>
      <w:r w:rsidRPr="0096403C">
        <w:rPr>
          <w:rStyle w:val="Heading2Char"/>
          <w:sz w:val="28"/>
          <w:szCs w:val="28"/>
        </w:rPr>
        <w:t>Additional documentation</w:t>
      </w:r>
      <w:r w:rsidRPr="0096403C">
        <w:t xml:space="preserve"> </w:t>
      </w:r>
    </w:p>
    <w:p w14:paraId="5F742EC0" w14:textId="4927872F" w:rsidR="000577A7" w:rsidRPr="0096403C" w:rsidRDefault="000577A7" w:rsidP="00E00239">
      <w:pPr>
        <w:pStyle w:val="BodyText"/>
        <w:rPr>
          <w:color w:val="auto"/>
          <w:sz w:val="22"/>
        </w:rPr>
      </w:pPr>
      <w:r w:rsidRPr="0096403C">
        <w:rPr>
          <w:color w:val="auto"/>
          <w:sz w:val="22"/>
        </w:rPr>
        <w:t>In addition to the main submission and evaluation report, the following supplementary documentation is required:</w:t>
      </w:r>
    </w:p>
    <w:p w14:paraId="073273A4" w14:textId="77777777" w:rsidR="00AE58C7" w:rsidRPr="0096403C" w:rsidRDefault="00AE58C7" w:rsidP="000577A7">
      <w:pPr>
        <w:pStyle w:val="BodyTextIndent2"/>
        <w:numPr>
          <w:ilvl w:val="2"/>
          <w:numId w:val="2"/>
        </w:numPr>
        <w:spacing w:after="60"/>
        <w:ind w:left="2154" w:hanging="357"/>
        <w:rPr>
          <w:color w:val="auto"/>
          <w:sz w:val="22"/>
          <w:szCs w:val="22"/>
        </w:rPr>
      </w:pPr>
      <w:r w:rsidRPr="0096403C">
        <w:rPr>
          <w:color w:val="auto"/>
          <w:sz w:val="22"/>
          <w:szCs w:val="22"/>
        </w:rPr>
        <w:t>data on student admission, progression, award and employment (last 5 years)</w:t>
      </w:r>
    </w:p>
    <w:p w14:paraId="358AFFAB" w14:textId="77777777" w:rsidR="000577A7" w:rsidRPr="0096403C" w:rsidRDefault="000577A7" w:rsidP="000577A7">
      <w:pPr>
        <w:pStyle w:val="BodyTextIndent2"/>
        <w:numPr>
          <w:ilvl w:val="2"/>
          <w:numId w:val="2"/>
        </w:numPr>
        <w:spacing w:after="60"/>
        <w:ind w:left="2154" w:hanging="357"/>
        <w:rPr>
          <w:color w:val="auto"/>
          <w:sz w:val="22"/>
          <w:szCs w:val="22"/>
        </w:rPr>
      </w:pPr>
      <w:r w:rsidRPr="0096403C">
        <w:rPr>
          <w:color w:val="auto"/>
          <w:sz w:val="22"/>
          <w:szCs w:val="22"/>
        </w:rPr>
        <w:t>current Programme Handbook for students</w:t>
      </w:r>
    </w:p>
    <w:p w14:paraId="307F1997" w14:textId="77777777" w:rsidR="000577A7" w:rsidRPr="0096403C" w:rsidRDefault="000577A7" w:rsidP="000577A7">
      <w:pPr>
        <w:pStyle w:val="BodyTextIndent2"/>
        <w:numPr>
          <w:ilvl w:val="2"/>
          <w:numId w:val="2"/>
        </w:numPr>
        <w:spacing w:after="60"/>
        <w:ind w:left="2154" w:hanging="357"/>
        <w:rPr>
          <w:color w:val="auto"/>
          <w:sz w:val="22"/>
          <w:szCs w:val="22"/>
        </w:rPr>
      </w:pPr>
      <w:r w:rsidRPr="0096403C">
        <w:rPr>
          <w:color w:val="auto"/>
          <w:sz w:val="22"/>
          <w:szCs w:val="22"/>
        </w:rPr>
        <w:t>programme brochure/marketing materials</w:t>
      </w:r>
    </w:p>
    <w:p w14:paraId="170580DD" w14:textId="77777777" w:rsidR="000577A7" w:rsidRPr="0096403C" w:rsidRDefault="000577A7" w:rsidP="0096403C">
      <w:pPr>
        <w:pStyle w:val="BodyTextIndent2"/>
        <w:numPr>
          <w:ilvl w:val="2"/>
          <w:numId w:val="2"/>
        </w:numPr>
        <w:spacing w:after="200"/>
        <w:ind w:left="2154" w:hanging="357"/>
        <w:rPr>
          <w:color w:val="auto"/>
          <w:sz w:val="22"/>
          <w:szCs w:val="22"/>
        </w:rPr>
      </w:pPr>
      <w:r w:rsidRPr="0096403C">
        <w:rPr>
          <w:color w:val="auto"/>
          <w:sz w:val="22"/>
          <w:szCs w:val="22"/>
        </w:rPr>
        <w:t>a copy of the previous validation or revalidation report</w:t>
      </w:r>
    </w:p>
    <w:p w14:paraId="492D4AF1" w14:textId="77777777" w:rsidR="00AE58C7" w:rsidRPr="0096403C" w:rsidRDefault="00AE58C7" w:rsidP="0096403C">
      <w:pPr>
        <w:pStyle w:val="BodyTextIndent2"/>
        <w:spacing w:after="200"/>
        <w:rPr>
          <w:color w:val="auto"/>
          <w:sz w:val="22"/>
          <w:szCs w:val="22"/>
        </w:rPr>
      </w:pPr>
      <w:r w:rsidRPr="0096403C">
        <w:rPr>
          <w:color w:val="auto"/>
          <w:sz w:val="22"/>
          <w:szCs w:val="22"/>
        </w:rPr>
        <w:t>Panel members should also be provided with links to relevant institutional documents including:</w:t>
      </w:r>
    </w:p>
    <w:p w14:paraId="69A0E347" w14:textId="77777777" w:rsidR="00AE58C7" w:rsidRPr="0096403C" w:rsidRDefault="00AE58C7" w:rsidP="0096403C">
      <w:pPr>
        <w:pStyle w:val="BodyTextIndent2"/>
        <w:numPr>
          <w:ilvl w:val="0"/>
          <w:numId w:val="12"/>
        </w:numPr>
        <w:spacing w:after="60"/>
        <w:ind w:left="2268"/>
        <w:rPr>
          <w:color w:val="auto"/>
          <w:sz w:val="22"/>
          <w:szCs w:val="22"/>
        </w:rPr>
      </w:pPr>
      <w:r w:rsidRPr="0096403C">
        <w:rPr>
          <w:color w:val="auto"/>
          <w:sz w:val="22"/>
          <w:szCs w:val="22"/>
        </w:rPr>
        <w:t>Equal Opportunities Policy</w:t>
      </w:r>
    </w:p>
    <w:p w14:paraId="5C3C11ED" w14:textId="77777777" w:rsidR="00AE58C7" w:rsidRPr="0096403C" w:rsidRDefault="00AE58C7" w:rsidP="0096403C">
      <w:pPr>
        <w:pStyle w:val="BodyTextIndent2"/>
        <w:numPr>
          <w:ilvl w:val="0"/>
          <w:numId w:val="12"/>
        </w:numPr>
        <w:spacing w:after="60"/>
        <w:ind w:left="2268"/>
        <w:rPr>
          <w:color w:val="auto"/>
          <w:sz w:val="22"/>
          <w:szCs w:val="22"/>
        </w:rPr>
      </w:pPr>
      <w:r w:rsidRPr="0096403C">
        <w:rPr>
          <w:color w:val="auto"/>
          <w:sz w:val="22"/>
          <w:szCs w:val="22"/>
        </w:rPr>
        <w:lastRenderedPageBreak/>
        <w:t>TL Strategic Plan</w:t>
      </w:r>
    </w:p>
    <w:p w14:paraId="0788A9F6" w14:textId="77777777" w:rsidR="00AE58C7" w:rsidRPr="0096403C" w:rsidRDefault="00AE58C7" w:rsidP="0096403C">
      <w:pPr>
        <w:pStyle w:val="BodyTextIndent2"/>
        <w:numPr>
          <w:ilvl w:val="0"/>
          <w:numId w:val="12"/>
        </w:numPr>
        <w:spacing w:after="60"/>
        <w:ind w:left="2268"/>
        <w:rPr>
          <w:color w:val="auto"/>
          <w:sz w:val="22"/>
          <w:szCs w:val="22"/>
        </w:rPr>
      </w:pPr>
      <w:r w:rsidRPr="0096403C">
        <w:rPr>
          <w:color w:val="auto"/>
          <w:sz w:val="22"/>
          <w:szCs w:val="22"/>
        </w:rPr>
        <w:t>Academic Quality Handbook</w:t>
      </w:r>
    </w:p>
    <w:p w14:paraId="3D8C120C" w14:textId="2A1C0844" w:rsidR="00AE58C7" w:rsidRPr="0096403C" w:rsidRDefault="00AE58C7" w:rsidP="0096403C">
      <w:pPr>
        <w:pStyle w:val="BodyTextIndent2"/>
        <w:numPr>
          <w:ilvl w:val="0"/>
          <w:numId w:val="12"/>
        </w:numPr>
        <w:spacing w:after="200"/>
        <w:ind w:left="2268" w:hanging="357"/>
        <w:rPr>
          <w:color w:val="auto"/>
          <w:sz w:val="22"/>
          <w:szCs w:val="22"/>
        </w:rPr>
      </w:pPr>
      <w:r w:rsidRPr="0096403C">
        <w:rPr>
          <w:color w:val="auto"/>
          <w:sz w:val="22"/>
          <w:szCs w:val="22"/>
        </w:rPr>
        <w:t>Assessment Regulations</w:t>
      </w:r>
    </w:p>
    <w:p w14:paraId="114D0876" w14:textId="5CC1FAA4" w:rsidR="000577A7" w:rsidRPr="002D3212" w:rsidRDefault="00E00239" w:rsidP="0096403C">
      <w:pPr>
        <w:pStyle w:val="Heading2"/>
        <w:spacing w:after="200"/>
      </w:pPr>
      <w:r w:rsidRPr="002D3212">
        <w:t>2.</w:t>
      </w:r>
      <w:r w:rsidRPr="002D3212">
        <w:tab/>
      </w:r>
      <w:r w:rsidR="000577A7" w:rsidRPr="0096403C">
        <w:rPr>
          <w:bCs/>
        </w:rPr>
        <w:t>Areas for Consideration at Revalidation</w:t>
      </w:r>
    </w:p>
    <w:p w14:paraId="534A59A1" w14:textId="77777777" w:rsidR="000577A7" w:rsidRPr="0096403C" w:rsidRDefault="000577A7" w:rsidP="000577A7">
      <w:pPr>
        <w:pStyle w:val="BodyText"/>
        <w:rPr>
          <w:b/>
          <w:color w:val="auto"/>
          <w:sz w:val="22"/>
        </w:rPr>
      </w:pPr>
      <w:r w:rsidRPr="0096403C">
        <w:rPr>
          <w:color w:val="auto"/>
          <w:sz w:val="22"/>
        </w:rPr>
        <w:t>In conjunction with any specific issues arising from the overall revalidation submission and meetings with staff and students, the Panel will consider the following areas during the revalidation event:</w:t>
      </w:r>
    </w:p>
    <w:p w14:paraId="665D4942" w14:textId="18B94F01" w:rsidR="000577A7" w:rsidRPr="0096403C" w:rsidRDefault="000577A7" w:rsidP="000577A7">
      <w:pPr>
        <w:pStyle w:val="BodyText"/>
        <w:rPr>
          <w:bCs/>
          <w:color w:val="auto"/>
          <w:sz w:val="22"/>
        </w:rPr>
      </w:pPr>
      <w:r w:rsidRPr="0096403C">
        <w:rPr>
          <w:b/>
          <w:color w:val="auto"/>
          <w:sz w:val="22"/>
        </w:rPr>
        <w:t>2.</w:t>
      </w:r>
      <w:r w:rsidR="00E00239" w:rsidRPr="0096403C">
        <w:rPr>
          <w:b/>
          <w:color w:val="auto"/>
          <w:sz w:val="22"/>
        </w:rPr>
        <w:t>1</w:t>
      </w:r>
      <w:r w:rsidRPr="0096403C">
        <w:rPr>
          <w:b/>
          <w:color w:val="auto"/>
          <w:sz w:val="22"/>
        </w:rPr>
        <w:tab/>
      </w:r>
      <w:r w:rsidR="008161F6">
        <w:rPr>
          <w:b/>
          <w:color w:val="auto"/>
          <w:sz w:val="22"/>
        </w:rPr>
        <w:t>Academic standards</w:t>
      </w:r>
    </w:p>
    <w:p w14:paraId="1003407A" w14:textId="1818A2A5" w:rsidR="008161F6" w:rsidRPr="008D3291" w:rsidRDefault="000577A7" w:rsidP="008161F6">
      <w:pPr>
        <w:pStyle w:val="BodyText"/>
        <w:ind w:left="720"/>
        <w:rPr>
          <w:color w:val="auto"/>
          <w:sz w:val="22"/>
        </w:rPr>
      </w:pPr>
      <w:r w:rsidRPr="0096403C">
        <w:rPr>
          <w:bCs/>
          <w:color w:val="auto"/>
          <w:sz w:val="22"/>
        </w:rPr>
        <w:t>T</w:t>
      </w:r>
      <w:r w:rsidRPr="0096403C">
        <w:rPr>
          <w:color w:val="auto"/>
          <w:sz w:val="22"/>
        </w:rPr>
        <w:t xml:space="preserve">he Panel will wish to satisfy itself that the programme seeking revalidation offers a high-quality educational experience to students and is commensurate with HE requirements including the level at which it is offered within the National Qualifications Framework. </w:t>
      </w:r>
      <w:r w:rsidR="008161F6" w:rsidRPr="008D3291">
        <w:rPr>
          <w:color w:val="auto"/>
          <w:sz w:val="22"/>
        </w:rPr>
        <w:t xml:space="preserve">The Panel will consider the procedures in place for the maintenance and enhancement of the quality of the student </w:t>
      </w:r>
      <w:r w:rsidR="008161F6">
        <w:rPr>
          <w:color w:val="auto"/>
          <w:sz w:val="22"/>
        </w:rPr>
        <w:t xml:space="preserve">learning experience and for securing </w:t>
      </w:r>
      <w:r w:rsidR="008161F6" w:rsidRPr="008D3291">
        <w:rPr>
          <w:color w:val="auto"/>
          <w:sz w:val="22"/>
        </w:rPr>
        <w:t xml:space="preserve">academic standards. The Panel will wish to consider any identifiable outcomes that have resulted from enhancements made and will also review how the faculty has complied with institutional procedures during the current period of validation . The Panel will also wish to see and consider statistical data relating to student progression and achievement and to consider the reasons for any significant changes over the past five years. </w:t>
      </w:r>
    </w:p>
    <w:p w14:paraId="080D58B0" w14:textId="77777777" w:rsidR="000577A7" w:rsidRPr="0096403C" w:rsidRDefault="000577A7" w:rsidP="000577A7">
      <w:pPr>
        <w:pStyle w:val="BodyText"/>
        <w:rPr>
          <w:b/>
          <w:color w:val="auto"/>
          <w:sz w:val="22"/>
        </w:rPr>
      </w:pPr>
      <w:r w:rsidRPr="0096403C">
        <w:rPr>
          <w:b/>
          <w:color w:val="auto"/>
          <w:sz w:val="22"/>
        </w:rPr>
        <w:t>2.2</w:t>
      </w:r>
      <w:r w:rsidRPr="0096403C">
        <w:rPr>
          <w:b/>
          <w:color w:val="auto"/>
          <w:sz w:val="22"/>
        </w:rPr>
        <w:tab/>
      </w:r>
      <w:r w:rsidRPr="0096403C">
        <w:rPr>
          <w:b/>
          <w:bCs/>
          <w:color w:val="auto"/>
          <w:sz w:val="22"/>
        </w:rPr>
        <w:t>Aims and learning outcomes</w:t>
      </w:r>
    </w:p>
    <w:p w14:paraId="031007D2" w14:textId="532CA119" w:rsidR="000577A7" w:rsidRPr="0096403C" w:rsidRDefault="000577A7" w:rsidP="000577A7">
      <w:pPr>
        <w:pStyle w:val="BodyText"/>
        <w:ind w:left="720"/>
        <w:rPr>
          <w:color w:val="auto"/>
          <w:sz w:val="22"/>
        </w:rPr>
      </w:pPr>
      <w:r w:rsidRPr="0096403C">
        <w:rPr>
          <w:color w:val="auto"/>
          <w:sz w:val="22"/>
        </w:rPr>
        <w:t>The Panel will wish to see evidence that programme aims and learning outcomes remain clear (to staff, students and the Panel) and relevant to HE requirements.</w:t>
      </w:r>
    </w:p>
    <w:p w14:paraId="1908B964" w14:textId="77777777" w:rsidR="000577A7" w:rsidRPr="0096403C" w:rsidRDefault="000577A7" w:rsidP="000577A7">
      <w:pPr>
        <w:pStyle w:val="BodyText"/>
        <w:rPr>
          <w:b/>
          <w:color w:val="auto"/>
          <w:sz w:val="22"/>
        </w:rPr>
      </w:pPr>
      <w:r w:rsidRPr="0096403C">
        <w:rPr>
          <w:b/>
          <w:color w:val="auto"/>
          <w:sz w:val="22"/>
        </w:rPr>
        <w:t>2.3</w:t>
      </w:r>
      <w:r w:rsidRPr="0096403C">
        <w:rPr>
          <w:b/>
          <w:color w:val="auto"/>
          <w:sz w:val="22"/>
        </w:rPr>
        <w:tab/>
      </w:r>
      <w:r w:rsidRPr="0096403C">
        <w:rPr>
          <w:b/>
          <w:bCs/>
          <w:color w:val="auto"/>
          <w:sz w:val="22"/>
        </w:rPr>
        <w:t>Content and assessment</w:t>
      </w:r>
    </w:p>
    <w:p w14:paraId="7EBCEA59" w14:textId="2DACFE35" w:rsidR="000577A7" w:rsidRPr="0096403C" w:rsidRDefault="000577A7" w:rsidP="000577A7">
      <w:pPr>
        <w:pStyle w:val="BodyText"/>
        <w:ind w:left="720"/>
        <w:rPr>
          <w:color w:val="auto"/>
          <w:sz w:val="22"/>
        </w:rPr>
      </w:pPr>
      <w:r w:rsidRPr="0096403C">
        <w:rPr>
          <w:color w:val="auto"/>
          <w:sz w:val="22"/>
        </w:rPr>
        <w:t xml:space="preserve">The Panel will wish to see evidence </w:t>
      </w:r>
      <w:r w:rsidR="008161F6" w:rsidRPr="008D3291">
        <w:rPr>
          <w:color w:val="auto"/>
          <w:sz w:val="22"/>
        </w:rPr>
        <w:t>that any programme changes, changes outside of the programme (including</w:t>
      </w:r>
      <w:r w:rsidR="008161F6">
        <w:rPr>
          <w:color w:val="auto"/>
          <w:sz w:val="22"/>
        </w:rPr>
        <w:t xml:space="preserve"> within </w:t>
      </w:r>
      <w:r w:rsidR="008161F6" w:rsidRPr="008D3291">
        <w:rPr>
          <w:color w:val="auto"/>
          <w:sz w:val="22"/>
        </w:rPr>
        <w:t xml:space="preserve">the associated profession/s), new technology, research findings and new aspects of professional practice have been incorporated into the programme and are working well. </w:t>
      </w:r>
      <w:r w:rsidRPr="0096403C">
        <w:rPr>
          <w:color w:val="auto"/>
          <w:sz w:val="22"/>
        </w:rPr>
        <w:t>It will also wish to see that assessment methods are appropriate to learning outcomes</w:t>
      </w:r>
      <w:r w:rsidR="008161F6">
        <w:rPr>
          <w:color w:val="auto"/>
          <w:sz w:val="22"/>
        </w:rPr>
        <w:t>, and</w:t>
      </w:r>
      <w:r w:rsidRPr="0096403C">
        <w:rPr>
          <w:color w:val="auto"/>
          <w:sz w:val="22"/>
        </w:rPr>
        <w:t xml:space="preserve"> to </w:t>
      </w:r>
      <w:r w:rsidR="007C29FD" w:rsidRPr="0096403C">
        <w:rPr>
          <w:color w:val="auto"/>
          <w:sz w:val="22"/>
        </w:rPr>
        <w:t>assure itself that curriculum and assessment design are inclusive and do not create barriers to learning for students with particular needs or backgrounds.</w:t>
      </w:r>
    </w:p>
    <w:p w14:paraId="307751F1" w14:textId="77777777" w:rsidR="000577A7" w:rsidRPr="0096403C" w:rsidRDefault="000577A7" w:rsidP="000577A7">
      <w:pPr>
        <w:pStyle w:val="BodyText"/>
        <w:rPr>
          <w:b/>
          <w:color w:val="auto"/>
          <w:sz w:val="22"/>
        </w:rPr>
      </w:pPr>
      <w:r w:rsidRPr="0096403C">
        <w:rPr>
          <w:b/>
          <w:color w:val="auto"/>
          <w:sz w:val="22"/>
        </w:rPr>
        <w:t>2.4</w:t>
      </w:r>
      <w:r w:rsidRPr="0096403C">
        <w:rPr>
          <w:b/>
          <w:color w:val="auto"/>
          <w:sz w:val="22"/>
        </w:rPr>
        <w:tab/>
      </w:r>
      <w:r w:rsidRPr="0096403C">
        <w:rPr>
          <w:b/>
          <w:bCs/>
          <w:color w:val="auto"/>
          <w:sz w:val="22"/>
        </w:rPr>
        <w:t>Learning and teaching</w:t>
      </w:r>
    </w:p>
    <w:p w14:paraId="52EBAEEF" w14:textId="6BCF62C2" w:rsidR="000577A7" w:rsidRPr="0096403C" w:rsidRDefault="000577A7" w:rsidP="0096403C">
      <w:pPr>
        <w:pStyle w:val="BodyText"/>
        <w:ind w:left="720"/>
        <w:rPr>
          <w:color w:val="auto"/>
          <w:sz w:val="22"/>
        </w:rPr>
      </w:pPr>
      <w:r w:rsidRPr="0096403C">
        <w:rPr>
          <w:sz w:val="22"/>
        </w:rPr>
        <w:t xml:space="preserve">The Panel will wish to see that learning and teaching strategies are appropriate to the HE level of the programme and the nature of the discipline. The Panel will wish to assure itself as to the appropriate level of learning resources available to students to assist them in achieving the intended learning outcomes of the programme. Consideration will be given as to how </w:t>
      </w:r>
      <w:r w:rsidR="007C29FD" w:rsidRPr="0096403C">
        <w:rPr>
          <w:sz w:val="22"/>
        </w:rPr>
        <w:t>students’ transition into, through and out of the programme is supported</w:t>
      </w:r>
      <w:r w:rsidR="008364DA" w:rsidRPr="0096403C">
        <w:rPr>
          <w:sz w:val="22"/>
        </w:rPr>
        <w:t>, and to the learning support strategies in place</w:t>
      </w:r>
    </w:p>
    <w:p w14:paraId="59A06D96" w14:textId="5932E016" w:rsidR="008364DA" w:rsidRPr="0096403C" w:rsidRDefault="000577A7" w:rsidP="000577A7">
      <w:pPr>
        <w:pStyle w:val="BodyText"/>
        <w:rPr>
          <w:b/>
          <w:color w:val="auto"/>
          <w:sz w:val="22"/>
        </w:rPr>
      </w:pPr>
      <w:r w:rsidRPr="0096403C">
        <w:rPr>
          <w:b/>
          <w:color w:val="auto"/>
          <w:sz w:val="22"/>
        </w:rPr>
        <w:t>2.</w:t>
      </w:r>
      <w:r w:rsidR="008161F6">
        <w:rPr>
          <w:b/>
          <w:color w:val="auto"/>
          <w:sz w:val="22"/>
        </w:rPr>
        <w:t>5</w:t>
      </w:r>
      <w:r w:rsidRPr="0096403C">
        <w:rPr>
          <w:b/>
          <w:color w:val="auto"/>
          <w:sz w:val="22"/>
        </w:rPr>
        <w:tab/>
      </w:r>
      <w:r w:rsidR="008364DA" w:rsidRPr="0096403C">
        <w:rPr>
          <w:b/>
          <w:color w:val="auto"/>
          <w:sz w:val="22"/>
        </w:rPr>
        <w:t>Student voice</w:t>
      </w:r>
    </w:p>
    <w:p w14:paraId="2AAF561F" w14:textId="22CD6017" w:rsidR="008364DA" w:rsidRPr="0096403C" w:rsidRDefault="008364DA" w:rsidP="0096403C">
      <w:pPr>
        <w:pStyle w:val="BodyText"/>
        <w:ind w:left="720"/>
        <w:rPr>
          <w:color w:val="auto"/>
          <w:sz w:val="22"/>
        </w:rPr>
      </w:pPr>
      <w:r w:rsidRPr="0096403C">
        <w:rPr>
          <w:color w:val="auto"/>
          <w:sz w:val="22"/>
        </w:rPr>
        <w:lastRenderedPageBreak/>
        <w:t>The Panel will have an opportunity to meet with students to gain some insight into students’ experience of the programme and their input into the review process. Evidence of the effectiveness of student evaluation and the impact of the student voice on the delivery an</w:t>
      </w:r>
      <w:r w:rsidR="00657C9E" w:rsidRPr="0096403C">
        <w:rPr>
          <w:color w:val="auto"/>
          <w:sz w:val="22"/>
        </w:rPr>
        <w:t>d development of the programme will be considered.</w:t>
      </w:r>
      <w:r w:rsidR="008161F6">
        <w:rPr>
          <w:color w:val="auto"/>
          <w:sz w:val="22"/>
        </w:rPr>
        <w:t xml:space="preserve"> The panel will wish to see evidence that </w:t>
      </w:r>
      <w:r w:rsidR="008161F6" w:rsidRPr="008D3291">
        <w:rPr>
          <w:color w:val="auto"/>
          <w:sz w:val="22"/>
        </w:rPr>
        <w:t>appropriate action has been taken on feedback given by students and that there is appropriate and effective student representation on committees.</w:t>
      </w:r>
    </w:p>
    <w:p w14:paraId="57023338" w14:textId="369E1223" w:rsidR="000577A7" w:rsidRPr="0096403C" w:rsidRDefault="008161F6" w:rsidP="000577A7">
      <w:pPr>
        <w:pStyle w:val="BodyText"/>
        <w:rPr>
          <w:b/>
          <w:color w:val="auto"/>
          <w:sz w:val="22"/>
        </w:rPr>
      </w:pPr>
      <w:r>
        <w:rPr>
          <w:b/>
          <w:color w:val="auto"/>
          <w:sz w:val="22"/>
        </w:rPr>
        <w:t>2.6</w:t>
      </w:r>
      <w:r w:rsidR="00657C9E" w:rsidRPr="0096403C">
        <w:rPr>
          <w:b/>
          <w:color w:val="auto"/>
          <w:sz w:val="22"/>
        </w:rPr>
        <w:tab/>
      </w:r>
      <w:r w:rsidR="000577A7" w:rsidRPr="0096403C">
        <w:rPr>
          <w:b/>
          <w:color w:val="auto"/>
          <w:sz w:val="22"/>
        </w:rPr>
        <w:t>Institutional matters</w:t>
      </w:r>
    </w:p>
    <w:p w14:paraId="0A73D359" w14:textId="70190818" w:rsidR="000577A7" w:rsidRPr="0096403C" w:rsidRDefault="000577A7" w:rsidP="000577A7">
      <w:pPr>
        <w:pStyle w:val="BodyText"/>
        <w:ind w:left="720"/>
        <w:rPr>
          <w:color w:val="auto"/>
          <w:sz w:val="22"/>
        </w:rPr>
      </w:pPr>
      <w:r w:rsidRPr="0096403C">
        <w:rPr>
          <w:sz w:val="22"/>
        </w:rPr>
        <w:t>The Panel will consider any Institutional matters that may affect the validated programme and should assure itself that no conflict exists between the aims and objectives of the Institution and the programme for which validation is sought</w:t>
      </w:r>
      <w:r w:rsidR="00410B00" w:rsidRPr="0096403C">
        <w:rPr>
          <w:sz w:val="22"/>
        </w:rPr>
        <w:t>. Any concerns of this nature should be referred to Academic Board for further discussion.</w:t>
      </w:r>
    </w:p>
    <w:p w14:paraId="187FB54E" w14:textId="0B587A2E" w:rsidR="000577A7" w:rsidRPr="0096403C" w:rsidRDefault="000577A7" w:rsidP="000577A7">
      <w:pPr>
        <w:pStyle w:val="BodyText"/>
        <w:rPr>
          <w:b/>
          <w:color w:val="auto"/>
          <w:sz w:val="22"/>
        </w:rPr>
      </w:pPr>
      <w:r w:rsidRPr="0096403C">
        <w:rPr>
          <w:b/>
          <w:color w:val="auto"/>
          <w:sz w:val="22"/>
        </w:rPr>
        <w:t>2.</w:t>
      </w:r>
      <w:r w:rsidR="008161F6">
        <w:rPr>
          <w:b/>
          <w:color w:val="auto"/>
          <w:sz w:val="22"/>
        </w:rPr>
        <w:t>7</w:t>
      </w:r>
      <w:r w:rsidRPr="0096403C">
        <w:rPr>
          <w:b/>
          <w:color w:val="auto"/>
          <w:sz w:val="22"/>
        </w:rPr>
        <w:tab/>
      </w:r>
      <w:r w:rsidRPr="0096403C">
        <w:rPr>
          <w:b/>
          <w:bCs/>
          <w:color w:val="auto"/>
          <w:sz w:val="22"/>
        </w:rPr>
        <w:t>Staff development</w:t>
      </w:r>
    </w:p>
    <w:p w14:paraId="765B3F1C" w14:textId="5C53FB1E" w:rsidR="000577A7" w:rsidRPr="0096403C" w:rsidRDefault="000577A7" w:rsidP="000577A7">
      <w:pPr>
        <w:pStyle w:val="BodyText"/>
        <w:ind w:left="720"/>
        <w:rPr>
          <w:color w:val="auto"/>
          <w:sz w:val="22"/>
        </w:rPr>
      </w:pPr>
      <w:r w:rsidRPr="0096403C">
        <w:rPr>
          <w:color w:val="auto"/>
          <w:sz w:val="22"/>
        </w:rPr>
        <w:t>The Panel will wish to see evidence of training and development for those staff involved in the teaching of the programme. The Panel may seek to identify evidence of any staff development that has enhanced the content and delivery of the programme.</w:t>
      </w:r>
    </w:p>
    <w:p w14:paraId="259103D8" w14:textId="1CD5A7E2" w:rsidR="000577A7" w:rsidRPr="0096403C" w:rsidRDefault="000577A7" w:rsidP="000577A7">
      <w:pPr>
        <w:pStyle w:val="BodyText"/>
        <w:rPr>
          <w:b/>
          <w:color w:val="auto"/>
          <w:sz w:val="22"/>
        </w:rPr>
      </w:pPr>
      <w:r w:rsidRPr="0096403C">
        <w:rPr>
          <w:b/>
          <w:color w:val="auto"/>
          <w:sz w:val="22"/>
        </w:rPr>
        <w:t>2.</w:t>
      </w:r>
      <w:r w:rsidR="008161F6">
        <w:rPr>
          <w:b/>
          <w:color w:val="auto"/>
          <w:sz w:val="22"/>
        </w:rPr>
        <w:t>8</w:t>
      </w:r>
      <w:r w:rsidRPr="0096403C">
        <w:rPr>
          <w:b/>
          <w:color w:val="auto"/>
          <w:sz w:val="22"/>
        </w:rPr>
        <w:tab/>
      </w:r>
      <w:r w:rsidRPr="0096403C">
        <w:rPr>
          <w:b/>
          <w:bCs/>
          <w:color w:val="auto"/>
          <w:sz w:val="22"/>
        </w:rPr>
        <w:t>Response to issues and problems</w:t>
      </w:r>
    </w:p>
    <w:p w14:paraId="77CC4AB4" w14:textId="3DEE144C" w:rsidR="00606854" w:rsidRDefault="000577A7" w:rsidP="0096403C">
      <w:pPr>
        <w:pStyle w:val="BodyText"/>
        <w:spacing w:after="0"/>
        <w:ind w:left="720"/>
      </w:pPr>
      <w:r w:rsidRPr="0096403C">
        <w:rPr>
          <w:sz w:val="22"/>
        </w:rPr>
        <w:t xml:space="preserve">The Panel will wish to see evidence that consideration has been given and appropriate action has been taken </w:t>
      </w:r>
      <w:r w:rsidR="00E00239" w:rsidRPr="0096403C">
        <w:rPr>
          <w:sz w:val="22"/>
        </w:rPr>
        <w:t xml:space="preserve">(or is planned) </w:t>
      </w:r>
      <w:r w:rsidRPr="0096403C">
        <w:rPr>
          <w:sz w:val="22"/>
        </w:rPr>
        <w:t>on any problems or issues raised during the period of validation</w:t>
      </w:r>
      <w:r w:rsidR="00AE58C7" w:rsidRPr="0096403C">
        <w:rPr>
          <w:sz w:val="22"/>
        </w:rPr>
        <w:t>, for example through institutional</w:t>
      </w:r>
      <w:r w:rsidRPr="0096403C">
        <w:rPr>
          <w:sz w:val="22"/>
        </w:rPr>
        <w:t xml:space="preserve"> monitoring and evaluation processes.</w:t>
      </w:r>
    </w:p>
    <w:sectPr w:rsidR="006068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D8EC" w14:textId="77777777" w:rsidR="00873A2B" w:rsidRDefault="00873A2B" w:rsidP="00964B4C">
      <w:pPr>
        <w:spacing w:after="0" w:line="240" w:lineRule="auto"/>
      </w:pPr>
      <w:r>
        <w:separator/>
      </w:r>
    </w:p>
  </w:endnote>
  <w:endnote w:type="continuationSeparator" w:id="0">
    <w:p w14:paraId="050A3302" w14:textId="77777777" w:rsidR="00873A2B" w:rsidRDefault="00873A2B" w:rsidP="0096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91893"/>
      <w:docPartObj>
        <w:docPartGallery w:val="Page Numbers (Bottom of Page)"/>
        <w:docPartUnique/>
      </w:docPartObj>
    </w:sdtPr>
    <w:sdtEndPr>
      <w:rPr>
        <w:noProof/>
      </w:rPr>
    </w:sdtEndPr>
    <w:sdtContent>
      <w:p w14:paraId="5491699C" w14:textId="029DA5D1" w:rsidR="00964B4C" w:rsidRDefault="00964B4C">
        <w:pPr>
          <w:pStyle w:val="Footer"/>
          <w:jc w:val="right"/>
        </w:pPr>
        <w:r>
          <w:fldChar w:fldCharType="begin"/>
        </w:r>
        <w:r>
          <w:instrText xml:space="preserve"> PAGE   \* MERGEFORMAT </w:instrText>
        </w:r>
        <w:r>
          <w:fldChar w:fldCharType="separate"/>
        </w:r>
        <w:r w:rsidR="0096403C">
          <w:rPr>
            <w:noProof/>
          </w:rPr>
          <w:t>6</w:t>
        </w:r>
        <w:r>
          <w:rPr>
            <w:noProof/>
          </w:rPr>
          <w:fldChar w:fldCharType="end"/>
        </w:r>
      </w:p>
    </w:sdtContent>
  </w:sdt>
  <w:p w14:paraId="698D5984" w14:textId="77777777" w:rsidR="00964B4C" w:rsidRDefault="00964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BD84" w14:textId="77777777" w:rsidR="00873A2B" w:rsidRDefault="00873A2B" w:rsidP="00964B4C">
      <w:pPr>
        <w:spacing w:after="0" w:line="240" w:lineRule="auto"/>
      </w:pPr>
      <w:r>
        <w:separator/>
      </w:r>
    </w:p>
  </w:footnote>
  <w:footnote w:type="continuationSeparator" w:id="0">
    <w:p w14:paraId="25A5543E" w14:textId="77777777" w:rsidR="00873A2B" w:rsidRDefault="00873A2B" w:rsidP="00964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FE0EBC"/>
    <w:name w:val="WWNum1"/>
    <w:lvl w:ilvl="0">
      <w:start w:val="1"/>
      <w:numFmt w:val="bullet"/>
      <w:lvlText w:val=""/>
      <w:lvlJc w:val="left"/>
      <w:pPr>
        <w:tabs>
          <w:tab w:val="num" w:pos="0"/>
        </w:tabs>
        <w:ind w:left="720" w:hanging="360"/>
      </w:pPr>
      <w:rPr>
        <w:rFonts w:ascii="Symbol" w:hAnsi="Symbol" w:cs="Symbol" w:hint="default"/>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2A"/>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11163A68"/>
    <w:multiLevelType w:val="hybridMultilevel"/>
    <w:tmpl w:val="D7743B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D77F46"/>
    <w:multiLevelType w:val="hybridMultilevel"/>
    <w:tmpl w:val="D8E69B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7D3051"/>
    <w:multiLevelType w:val="hybridMultilevel"/>
    <w:tmpl w:val="ACBC363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F453950"/>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353027FD"/>
    <w:multiLevelType w:val="hybridMultilevel"/>
    <w:tmpl w:val="99C249B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2280DC4"/>
    <w:multiLevelType w:val="hybridMultilevel"/>
    <w:tmpl w:val="1F76424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40F7E33"/>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601541C0"/>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62AA60B1"/>
    <w:multiLevelType w:val="hybridMultilevel"/>
    <w:tmpl w:val="42A2D78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9"/>
  </w:num>
  <w:num w:numId="6">
    <w:abstractNumId w:val="11"/>
  </w:num>
  <w:num w:numId="7">
    <w:abstractNumId w:val="4"/>
  </w:num>
  <w:num w:numId="8">
    <w:abstractNumId w:val="8"/>
  </w:num>
  <w:num w:numId="9">
    <w:abstractNumId w:val="7"/>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A7"/>
    <w:rsid w:val="000577A7"/>
    <w:rsid w:val="001C0D23"/>
    <w:rsid w:val="001F17BE"/>
    <w:rsid w:val="00206D79"/>
    <w:rsid w:val="002D3212"/>
    <w:rsid w:val="002D6B35"/>
    <w:rsid w:val="00314113"/>
    <w:rsid w:val="00410B00"/>
    <w:rsid w:val="004A27B2"/>
    <w:rsid w:val="00606854"/>
    <w:rsid w:val="006269BC"/>
    <w:rsid w:val="00646DA5"/>
    <w:rsid w:val="00657C9E"/>
    <w:rsid w:val="006B62FC"/>
    <w:rsid w:val="0079590F"/>
    <w:rsid w:val="007C29FD"/>
    <w:rsid w:val="008161F6"/>
    <w:rsid w:val="008364DA"/>
    <w:rsid w:val="00873A2B"/>
    <w:rsid w:val="0096403C"/>
    <w:rsid w:val="00964B4C"/>
    <w:rsid w:val="00A204FA"/>
    <w:rsid w:val="00AE5678"/>
    <w:rsid w:val="00AE58C7"/>
    <w:rsid w:val="00B20EC2"/>
    <w:rsid w:val="00B85173"/>
    <w:rsid w:val="00C35D8A"/>
    <w:rsid w:val="00C50C81"/>
    <w:rsid w:val="00D50F38"/>
    <w:rsid w:val="00D65873"/>
    <w:rsid w:val="00E00239"/>
    <w:rsid w:val="00EE70F6"/>
    <w:rsid w:val="00F0265E"/>
    <w:rsid w:val="00FC3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15CC9013"/>
  <w15:chartTrackingRefBased/>
  <w15:docId w15:val="{8ABE6D52-5D5E-45CA-87E9-D8DB738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177"/>
  </w:style>
  <w:style w:type="paragraph" w:styleId="Heading1">
    <w:name w:val="heading 1"/>
    <w:basedOn w:val="Normal"/>
    <w:next w:val="Normal"/>
    <w:link w:val="Heading1Char"/>
    <w:uiPriority w:val="9"/>
    <w:qFormat/>
    <w:rsid w:val="00FC3177"/>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FC3177"/>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unhideWhenUsed/>
    <w:qFormat/>
    <w:rsid w:val="00FC3177"/>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unhideWhenUsed/>
    <w:qFormat/>
    <w:rsid w:val="00FC3177"/>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FC3177"/>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FC3177"/>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FC3177"/>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FC3177"/>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FC3177"/>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177"/>
    <w:rPr>
      <w:rFonts w:asciiTheme="majorHAnsi" w:eastAsiaTheme="majorEastAsia" w:hAnsiTheme="majorHAnsi" w:cstheme="majorBidi"/>
      <w:color w:val="374C80" w:themeColor="accent1" w:themeShade="BF"/>
      <w:sz w:val="32"/>
      <w:szCs w:val="32"/>
    </w:rPr>
  </w:style>
  <w:style w:type="paragraph" w:styleId="BodyText">
    <w:name w:val="Body Text"/>
    <w:basedOn w:val="Normal"/>
    <w:link w:val="BodyTextChar"/>
    <w:rsid w:val="000577A7"/>
    <w:pPr>
      <w:suppressAutoHyphens/>
      <w:spacing w:after="140" w:line="288" w:lineRule="auto"/>
    </w:pPr>
    <w:rPr>
      <w:rFonts w:ascii="Arial" w:eastAsia="Arial Unicode MS" w:hAnsi="Arial" w:cs="Calibri"/>
      <w:color w:val="00000A"/>
      <w:kern w:val="1"/>
      <w:sz w:val="20"/>
    </w:rPr>
  </w:style>
  <w:style w:type="character" w:customStyle="1" w:styleId="BodyTextChar">
    <w:name w:val="Body Text Char"/>
    <w:basedOn w:val="DefaultParagraphFont"/>
    <w:link w:val="BodyText"/>
    <w:rsid w:val="000577A7"/>
    <w:rPr>
      <w:rFonts w:ascii="Arial" w:eastAsia="Arial Unicode MS" w:hAnsi="Arial" w:cs="Calibri"/>
      <w:color w:val="00000A"/>
      <w:kern w:val="1"/>
      <w:sz w:val="20"/>
    </w:rPr>
  </w:style>
  <w:style w:type="paragraph" w:styleId="BodyTextIndent">
    <w:name w:val="Body Text Indent"/>
    <w:basedOn w:val="ListParagraph"/>
    <w:link w:val="BodyTextIndentChar"/>
    <w:rsid w:val="000577A7"/>
    <w:pPr>
      <w:suppressAutoHyphens/>
      <w:spacing w:after="200" w:line="276" w:lineRule="auto"/>
    </w:pPr>
    <w:rPr>
      <w:rFonts w:ascii="Arial" w:eastAsia="Times New Roman" w:hAnsi="Arial" w:cs="Helvetica"/>
      <w:color w:val="00000A"/>
      <w:kern w:val="1"/>
      <w:sz w:val="20"/>
      <w:szCs w:val="20"/>
      <w:lang w:eastAsia="en-GB"/>
    </w:rPr>
  </w:style>
  <w:style w:type="character" w:customStyle="1" w:styleId="BodyTextIndentChar">
    <w:name w:val="Body Text Indent Char"/>
    <w:basedOn w:val="DefaultParagraphFont"/>
    <w:link w:val="BodyTextIndent"/>
    <w:rsid w:val="000577A7"/>
    <w:rPr>
      <w:rFonts w:ascii="Arial" w:eastAsia="Times New Roman" w:hAnsi="Arial" w:cs="Helvetica"/>
      <w:color w:val="00000A"/>
      <w:kern w:val="1"/>
      <w:sz w:val="20"/>
      <w:szCs w:val="20"/>
      <w:lang w:eastAsia="en-GB"/>
    </w:rPr>
  </w:style>
  <w:style w:type="paragraph" w:styleId="BodyTextIndent2">
    <w:name w:val="Body Text Indent 2"/>
    <w:basedOn w:val="Normal"/>
    <w:link w:val="BodyTextIndent2Char"/>
    <w:rsid w:val="000577A7"/>
    <w:pPr>
      <w:suppressAutoHyphens/>
      <w:spacing w:after="280" w:line="254" w:lineRule="auto"/>
    </w:pPr>
    <w:rPr>
      <w:rFonts w:ascii="Arial" w:eastAsia="Times New Roman" w:hAnsi="Arial" w:cs="Arial"/>
      <w:color w:val="00000A"/>
      <w:kern w:val="1"/>
      <w:sz w:val="20"/>
      <w:szCs w:val="20"/>
      <w:lang w:eastAsia="en-GB"/>
    </w:rPr>
  </w:style>
  <w:style w:type="character" w:customStyle="1" w:styleId="BodyTextIndent2Char">
    <w:name w:val="Body Text Indent 2 Char"/>
    <w:basedOn w:val="DefaultParagraphFont"/>
    <w:link w:val="BodyTextIndent2"/>
    <w:rsid w:val="000577A7"/>
    <w:rPr>
      <w:rFonts w:ascii="Arial" w:eastAsia="Times New Roman" w:hAnsi="Arial" w:cs="Arial"/>
      <w:color w:val="00000A"/>
      <w:kern w:val="1"/>
      <w:sz w:val="20"/>
      <w:szCs w:val="20"/>
      <w:lang w:eastAsia="en-GB"/>
    </w:rPr>
  </w:style>
  <w:style w:type="paragraph" w:styleId="ListParagraph">
    <w:name w:val="List Paragraph"/>
    <w:basedOn w:val="Normal"/>
    <w:uiPriority w:val="34"/>
    <w:qFormat/>
    <w:rsid w:val="000577A7"/>
    <w:pPr>
      <w:ind w:left="720"/>
      <w:contextualSpacing/>
    </w:pPr>
  </w:style>
  <w:style w:type="paragraph" w:styleId="Header">
    <w:name w:val="header"/>
    <w:basedOn w:val="Normal"/>
    <w:link w:val="HeaderChar"/>
    <w:uiPriority w:val="99"/>
    <w:unhideWhenUsed/>
    <w:rsid w:val="00964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B4C"/>
  </w:style>
  <w:style w:type="paragraph" w:styleId="Footer">
    <w:name w:val="footer"/>
    <w:basedOn w:val="Normal"/>
    <w:link w:val="FooterChar"/>
    <w:uiPriority w:val="99"/>
    <w:unhideWhenUsed/>
    <w:rsid w:val="00964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B4C"/>
  </w:style>
  <w:style w:type="character" w:customStyle="1" w:styleId="Heading1Char">
    <w:name w:val="Heading 1 Char"/>
    <w:basedOn w:val="DefaultParagraphFont"/>
    <w:link w:val="Heading1"/>
    <w:uiPriority w:val="9"/>
    <w:rsid w:val="00FC3177"/>
    <w:rPr>
      <w:rFonts w:asciiTheme="majorHAnsi" w:eastAsiaTheme="majorEastAsia" w:hAnsiTheme="majorHAnsi" w:cstheme="majorBidi"/>
      <w:color w:val="253356" w:themeColor="accent1" w:themeShade="80"/>
      <w:sz w:val="36"/>
      <w:szCs w:val="36"/>
    </w:rPr>
  </w:style>
  <w:style w:type="character" w:customStyle="1" w:styleId="Heading3Char">
    <w:name w:val="Heading 3 Char"/>
    <w:basedOn w:val="DefaultParagraphFont"/>
    <w:link w:val="Heading3"/>
    <w:uiPriority w:val="9"/>
    <w:rsid w:val="00FC3177"/>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rsid w:val="00FC3177"/>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FC3177"/>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FC3177"/>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FC3177"/>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FC3177"/>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FC3177"/>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FC3177"/>
    <w:pPr>
      <w:spacing w:line="240" w:lineRule="auto"/>
    </w:pPr>
    <w:rPr>
      <w:b/>
      <w:bCs/>
      <w:smallCaps/>
      <w:color w:val="242852" w:themeColor="text2"/>
    </w:rPr>
  </w:style>
  <w:style w:type="paragraph" w:styleId="Title">
    <w:name w:val="Title"/>
    <w:basedOn w:val="Normal"/>
    <w:next w:val="Normal"/>
    <w:link w:val="TitleChar"/>
    <w:uiPriority w:val="10"/>
    <w:qFormat/>
    <w:rsid w:val="00FC3177"/>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FC3177"/>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FC3177"/>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FC3177"/>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FC3177"/>
    <w:rPr>
      <w:b/>
      <w:bCs/>
    </w:rPr>
  </w:style>
  <w:style w:type="character" w:styleId="Emphasis">
    <w:name w:val="Emphasis"/>
    <w:basedOn w:val="DefaultParagraphFont"/>
    <w:uiPriority w:val="20"/>
    <w:qFormat/>
    <w:rsid w:val="00FC3177"/>
    <w:rPr>
      <w:i/>
      <w:iCs/>
    </w:rPr>
  </w:style>
  <w:style w:type="paragraph" w:styleId="NoSpacing">
    <w:name w:val="No Spacing"/>
    <w:uiPriority w:val="1"/>
    <w:qFormat/>
    <w:rsid w:val="00FC3177"/>
    <w:pPr>
      <w:spacing w:after="0" w:line="240" w:lineRule="auto"/>
    </w:pPr>
  </w:style>
  <w:style w:type="paragraph" w:styleId="Quote">
    <w:name w:val="Quote"/>
    <w:basedOn w:val="Normal"/>
    <w:next w:val="Normal"/>
    <w:link w:val="QuoteChar"/>
    <w:uiPriority w:val="29"/>
    <w:qFormat/>
    <w:rsid w:val="00FC3177"/>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FC3177"/>
    <w:rPr>
      <w:color w:val="242852" w:themeColor="text2"/>
      <w:sz w:val="24"/>
      <w:szCs w:val="24"/>
    </w:rPr>
  </w:style>
  <w:style w:type="paragraph" w:styleId="IntenseQuote">
    <w:name w:val="Intense Quote"/>
    <w:basedOn w:val="Normal"/>
    <w:next w:val="Normal"/>
    <w:link w:val="IntenseQuoteChar"/>
    <w:uiPriority w:val="30"/>
    <w:qFormat/>
    <w:rsid w:val="00FC3177"/>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FC3177"/>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FC3177"/>
    <w:rPr>
      <w:i/>
      <w:iCs/>
      <w:color w:val="595959" w:themeColor="text1" w:themeTint="A6"/>
    </w:rPr>
  </w:style>
  <w:style w:type="character" w:styleId="IntenseEmphasis">
    <w:name w:val="Intense Emphasis"/>
    <w:basedOn w:val="DefaultParagraphFont"/>
    <w:uiPriority w:val="21"/>
    <w:qFormat/>
    <w:rsid w:val="00FC3177"/>
    <w:rPr>
      <w:b/>
      <w:bCs/>
      <w:i/>
      <w:iCs/>
    </w:rPr>
  </w:style>
  <w:style w:type="character" w:styleId="SubtleReference">
    <w:name w:val="Subtle Reference"/>
    <w:basedOn w:val="DefaultParagraphFont"/>
    <w:uiPriority w:val="31"/>
    <w:qFormat/>
    <w:rsid w:val="00FC317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3177"/>
    <w:rPr>
      <w:b/>
      <w:bCs/>
      <w:smallCaps/>
      <w:color w:val="242852" w:themeColor="text2"/>
      <w:u w:val="single"/>
    </w:rPr>
  </w:style>
  <w:style w:type="character" w:styleId="BookTitle">
    <w:name w:val="Book Title"/>
    <w:basedOn w:val="DefaultParagraphFont"/>
    <w:uiPriority w:val="33"/>
    <w:qFormat/>
    <w:rsid w:val="00FC3177"/>
    <w:rPr>
      <w:b/>
      <w:bCs/>
      <w:smallCaps/>
      <w:spacing w:val="10"/>
    </w:rPr>
  </w:style>
  <w:style w:type="paragraph" w:styleId="TOCHeading">
    <w:name w:val="TOC Heading"/>
    <w:basedOn w:val="Heading1"/>
    <w:next w:val="Normal"/>
    <w:uiPriority w:val="39"/>
    <w:semiHidden/>
    <w:unhideWhenUsed/>
    <w:qFormat/>
    <w:rsid w:val="00FC3177"/>
    <w:pPr>
      <w:outlineLvl w:val="9"/>
    </w:pPr>
  </w:style>
  <w:style w:type="paragraph" w:styleId="BalloonText">
    <w:name w:val="Balloon Text"/>
    <w:basedOn w:val="Normal"/>
    <w:link w:val="BalloonTextChar"/>
    <w:uiPriority w:val="99"/>
    <w:semiHidden/>
    <w:unhideWhenUsed/>
    <w:rsid w:val="0062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BC"/>
    <w:rPr>
      <w:rFonts w:ascii="Segoe UI" w:hAnsi="Segoe UI" w:cs="Segoe UI"/>
      <w:sz w:val="18"/>
      <w:szCs w:val="18"/>
    </w:rPr>
  </w:style>
  <w:style w:type="character" w:styleId="CommentReference">
    <w:name w:val="annotation reference"/>
    <w:basedOn w:val="DefaultParagraphFont"/>
    <w:uiPriority w:val="99"/>
    <w:semiHidden/>
    <w:unhideWhenUsed/>
    <w:rsid w:val="006269BC"/>
    <w:rPr>
      <w:sz w:val="16"/>
      <w:szCs w:val="16"/>
    </w:rPr>
  </w:style>
  <w:style w:type="paragraph" w:styleId="CommentText">
    <w:name w:val="annotation text"/>
    <w:basedOn w:val="Normal"/>
    <w:link w:val="CommentTextChar"/>
    <w:uiPriority w:val="99"/>
    <w:semiHidden/>
    <w:unhideWhenUsed/>
    <w:rsid w:val="006269BC"/>
    <w:pPr>
      <w:spacing w:line="240" w:lineRule="auto"/>
    </w:pPr>
    <w:rPr>
      <w:sz w:val="20"/>
      <w:szCs w:val="20"/>
    </w:rPr>
  </w:style>
  <w:style w:type="character" w:customStyle="1" w:styleId="CommentTextChar">
    <w:name w:val="Comment Text Char"/>
    <w:basedOn w:val="DefaultParagraphFont"/>
    <w:link w:val="CommentText"/>
    <w:uiPriority w:val="99"/>
    <w:semiHidden/>
    <w:rsid w:val="006269BC"/>
    <w:rPr>
      <w:sz w:val="20"/>
      <w:szCs w:val="20"/>
    </w:rPr>
  </w:style>
  <w:style w:type="paragraph" w:styleId="CommentSubject">
    <w:name w:val="annotation subject"/>
    <w:basedOn w:val="CommentText"/>
    <w:next w:val="CommentText"/>
    <w:link w:val="CommentSubjectChar"/>
    <w:uiPriority w:val="99"/>
    <w:semiHidden/>
    <w:unhideWhenUsed/>
    <w:rsid w:val="006269BC"/>
    <w:rPr>
      <w:b/>
      <w:bCs/>
    </w:rPr>
  </w:style>
  <w:style w:type="character" w:customStyle="1" w:styleId="CommentSubjectChar">
    <w:name w:val="Comment Subject Char"/>
    <w:basedOn w:val="CommentTextChar"/>
    <w:link w:val="CommentSubject"/>
    <w:uiPriority w:val="99"/>
    <w:semiHidden/>
    <w:rsid w:val="00626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7</cp:revision>
  <dcterms:created xsi:type="dcterms:W3CDTF">2019-05-28T12:06:00Z</dcterms:created>
  <dcterms:modified xsi:type="dcterms:W3CDTF">2023-07-19T09:19:00Z</dcterms:modified>
</cp:coreProperties>
</file>