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A3722" w14:textId="77777777" w:rsidR="00EC0C92" w:rsidRPr="00EC0C92" w:rsidRDefault="00EC0C92" w:rsidP="00EC0C92">
      <w:pPr>
        <w:pBdr>
          <w:top w:val="single" w:sz="24" w:space="0" w:color="1CADE4"/>
          <w:left w:val="single" w:sz="24" w:space="0" w:color="1CADE4"/>
          <w:bottom w:val="single" w:sz="24" w:space="0" w:color="1CADE4"/>
          <w:right w:val="single" w:sz="24" w:space="0" w:color="1CADE4"/>
        </w:pBdr>
        <w:shd w:val="clear" w:color="auto" w:fill="1CADE4"/>
        <w:spacing w:before="100" w:after="0"/>
        <w:outlineLvl w:val="0"/>
        <w:rPr>
          <w:rFonts w:eastAsia="Times New Roman"/>
          <w:caps/>
          <w:color w:val="FFFFFF"/>
          <w:spacing w:val="15"/>
          <w:sz w:val="22"/>
          <w:szCs w:val="22"/>
        </w:rPr>
      </w:pPr>
      <w:bookmarkStart w:id="0" w:name="_Toc106105028"/>
      <w:r w:rsidRPr="00EC0C92">
        <w:rPr>
          <w:rFonts w:eastAsia="Times New Roman"/>
          <w:caps/>
          <w:color w:val="FFFFFF"/>
          <w:spacing w:val="15"/>
          <w:sz w:val="22"/>
          <w:szCs w:val="22"/>
        </w:rPr>
        <w:t>Programme Specification (undergraduate)</w:t>
      </w:r>
      <w:bookmarkEnd w:id="0"/>
    </w:p>
    <w:p w14:paraId="5591D9DC" w14:textId="77777777" w:rsidR="00EC0C92" w:rsidRPr="00EC0C92" w:rsidRDefault="00EC0C92" w:rsidP="00EC0C92">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Key Facts"/>
        <w:tblDescription w:val="Key facts about the programme"/>
      </w:tblPr>
      <w:tblGrid>
        <w:gridCol w:w="2689"/>
        <w:gridCol w:w="6167"/>
      </w:tblGrid>
      <w:tr w:rsidR="00EC0C92" w:rsidRPr="00EC0C92" w14:paraId="7BCF513D" w14:textId="77777777" w:rsidTr="002B2E7F">
        <w:tc>
          <w:tcPr>
            <w:tcW w:w="2689" w:type="dxa"/>
          </w:tcPr>
          <w:p w14:paraId="575FA3D6" w14:textId="77777777" w:rsidR="00EC0C92" w:rsidRPr="00EC0C92" w:rsidRDefault="00EC0C92" w:rsidP="002B2E7F">
            <w:pPr>
              <w:spacing w:before="60" w:after="60"/>
              <w:rPr>
                <w:rFonts w:eastAsia="Times New Roman"/>
              </w:rPr>
            </w:pPr>
            <w:r w:rsidRPr="00EC0C92">
              <w:rPr>
                <w:rFonts w:eastAsia="Times New Roman"/>
                <w:b/>
              </w:rPr>
              <w:t>Programme</w:t>
            </w:r>
          </w:p>
        </w:tc>
        <w:tc>
          <w:tcPr>
            <w:tcW w:w="6167" w:type="dxa"/>
          </w:tcPr>
          <w:p w14:paraId="0B1D3D8F" w14:textId="77777777" w:rsidR="00EC0C92" w:rsidRPr="00EC0C92" w:rsidRDefault="00EC0C92" w:rsidP="002B2E7F">
            <w:pPr>
              <w:spacing w:before="60" w:after="60"/>
              <w:rPr>
                <w:rFonts w:eastAsia="Times New Roman"/>
              </w:rPr>
            </w:pPr>
            <w:r w:rsidRPr="00EC0C92">
              <w:rPr>
                <w:rFonts w:eastAsia="Times New Roman"/>
              </w:rPr>
              <w:t>Cert HE Foundations of Musical Theatre</w:t>
            </w:r>
          </w:p>
        </w:tc>
      </w:tr>
      <w:tr w:rsidR="00EC0C92" w:rsidRPr="00EC0C92" w14:paraId="53593A0D" w14:textId="77777777" w:rsidTr="002B2E7F">
        <w:tc>
          <w:tcPr>
            <w:tcW w:w="2689" w:type="dxa"/>
          </w:tcPr>
          <w:p w14:paraId="5B6C9D80" w14:textId="77777777" w:rsidR="00EC0C92" w:rsidRPr="00EC0C92" w:rsidRDefault="00EC0C92" w:rsidP="002B2E7F">
            <w:pPr>
              <w:spacing w:before="60" w:after="60"/>
              <w:rPr>
                <w:rFonts w:eastAsia="Times New Roman"/>
                <w:b/>
              </w:rPr>
            </w:pPr>
            <w:r w:rsidRPr="00EC0C92">
              <w:rPr>
                <w:rFonts w:eastAsia="Times New Roman"/>
                <w:b/>
              </w:rPr>
              <w:t>Awarding Institution</w:t>
            </w:r>
          </w:p>
        </w:tc>
        <w:tc>
          <w:tcPr>
            <w:tcW w:w="6167" w:type="dxa"/>
          </w:tcPr>
          <w:p w14:paraId="70E31994" w14:textId="77777777" w:rsidR="00EC0C92" w:rsidRPr="00EC0C92" w:rsidRDefault="00EC0C92" w:rsidP="002B2E7F">
            <w:pPr>
              <w:spacing w:before="60" w:after="60"/>
              <w:rPr>
                <w:rFonts w:eastAsia="Times New Roman"/>
              </w:rPr>
            </w:pPr>
            <w:r w:rsidRPr="00EC0C92">
              <w:rPr>
                <w:rFonts w:eastAsia="Times New Roman"/>
              </w:rPr>
              <w:t>Trinity Laban</w:t>
            </w:r>
          </w:p>
        </w:tc>
      </w:tr>
      <w:tr w:rsidR="00EC0C92" w:rsidRPr="00EC0C92" w14:paraId="7D2C0250" w14:textId="77777777" w:rsidTr="002B2E7F">
        <w:tc>
          <w:tcPr>
            <w:tcW w:w="2689" w:type="dxa"/>
          </w:tcPr>
          <w:p w14:paraId="2114E528" w14:textId="77777777" w:rsidR="00EC0C92" w:rsidRPr="00EC0C92" w:rsidRDefault="00EC0C92" w:rsidP="002B2E7F">
            <w:pPr>
              <w:spacing w:before="60" w:after="60"/>
              <w:rPr>
                <w:rFonts w:eastAsia="Times New Roman"/>
                <w:b/>
              </w:rPr>
            </w:pPr>
            <w:r w:rsidRPr="00EC0C92">
              <w:rPr>
                <w:rFonts w:eastAsia="Times New Roman"/>
                <w:b/>
              </w:rPr>
              <w:t>Location of study</w:t>
            </w:r>
          </w:p>
        </w:tc>
        <w:tc>
          <w:tcPr>
            <w:tcW w:w="6167" w:type="dxa"/>
          </w:tcPr>
          <w:p w14:paraId="39A8009B" w14:textId="77777777" w:rsidR="00EC0C92" w:rsidRPr="00EC0C92" w:rsidRDefault="00EC0C92" w:rsidP="002B2E7F">
            <w:pPr>
              <w:spacing w:before="60" w:after="60"/>
              <w:rPr>
                <w:rFonts w:eastAsia="Times New Roman"/>
              </w:rPr>
            </w:pPr>
            <w:r w:rsidRPr="00EC0C92">
              <w:rPr>
                <w:rFonts w:eastAsia="Times New Roman"/>
              </w:rPr>
              <w:t>Laurie Grove and King Charles Court</w:t>
            </w:r>
          </w:p>
        </w:tc>
      </w:tr>
      <w:tr w:rsidR="00EC0C92" w:rsidRPr="00EC0C92" w14:paraId="0A26C016" w14:textId="77777777" w:rsidTr="002B2E7F">
        <w:tc>
          <w:tcPr>
            <w:tcW w:w="2689" w:type="dxa"/>
          </w:tcPr>
          <w:p w14:paraId="1C61A642" w14:textId="77777777" w:rsidR="00EC0C92" w:rsidRPr="00EC0C92" w:rsidRDefault="00EC0C92" w:rsidP="002B2E7F">
            <w:pPr>
              <w:spacing w:before="60" w:after="60"/>
              <w:rPr>
                <w:rFonts w:eastAsia="Times New Roman"/>
                <w:b/>
              </w:rPr>
            </w:pPr>
            <w:r w:rsidRPr="00EC0C92">
              <w:rPr>
                <w:rFonts w:eastAsia="Times New Roman"/>
                <w:b/>
              </w:rPr>
              <w:t>Mode and duration</w:t>
            </w:r>
          </w:p>
        </w:tc>
        <w:tc>
          <w:tcPr>
            <w:tcW w:w="6167" w:type="dxa"/>
          </w:tcPr>
          <w:p w14:paraId="6933FABB" w14:textId="5A339D03" w:rsidR="00EC0C92" w:rsidRPr="00EC0C92" w:rsidRDefault="00EC0C92" w:rsidP="002B2E7F">
            <w:pPr>
              <w:spacing w:before="60" w:after="60"/>
              <w:rPr>
                <w:rFonts w:eastAsia="Times New Roman"/>
              </w:rPr>
            </w:pPr>
            <w:r w:rsidRPr="00EC0C92">
              <w:rPr>
                <w:rFonts w:eastAsia="Times New Roman"/>
              </w:rPr>
              <w:t>1</w:t>
            </w:r>
            <w:r w:rsidR="00192CF8">
              <w:rPr>
                <w:rFonts w:eastAsia="Times New Roman"/>
              </w:rPr>
              <w:t xml:space="preserve"> </w:t>
            </w:r>
            <w:r w:rsidRPr="00EC0C92">
              <w:rPr>
                <w:rFonts w:eastAsia="Times New Roman"/>
              </w:rPr>
              <w:t>year full time</w:t>
            </w:r>
          </w:p>
        </w:tc>
      </w:tr>
      <w:tr w:rsidR="00EC0C92" w:rsidRPr="00EC0C92" w14:paraId="07F33B33" w14:textId="77777777" w:rsidTr="002B2E7F">
        <w:tc>
          <w:tcPr>
            <w:tcW w:w="2689" w:type="dxa"/>
          </w:tcPr>
          <w:p w14:paraId="0BA3D1E7" w14:textId="77777777" w:rsidR="00EC0C92" w:rsidRPr="00EC0C92" w:rsidRDefault="00EC0C92" w:rsidP="002B2E7F">
            <w:pPr>
              <w:spacing w:before="60" w:after="60"/>
              <w:rPr>
                <w:rFonts w:eastAsia="Times New Roman"/>
              </w:rPr>
            </w:pPr>
            <w:r w:rsidRPr="00EC0C92">
              <w:rPr>
                <w:rFonts w:eastAsia="Times New Roman"/>
                <w:b/>
              </w:rPr>
              <w:t>UK Credits</w:t>
            </w:r>
          </w:p>
        </w:tc>
        <w:tc>
          <w:tcPr>
            <w:tcW w:w="6167" w:type="dxa"/>
          </w:tcPr>
          <w:p w14:paraId="26B85074" w14:textId="77777777" w:rsidR="00EC0C92" w:rsidRPr="00EC0C92" w:rsidRDefault="00EC0C92" w:rsidP="002B2E7F">
            <w:pPr>
              <w:spacing w:before="60" w:after="60"/>
              <w:rPr>
                <w:rFonts w:eastAsia="Times New Roman"/>
              </w:rPr>
            </w:pPr>
            <w:r w:rsidRPr="00EC0C92">
              <w:rPr>
                <w:rFonts w:eastAsia="Times New Roman"/>
              </w:rPr>
              <w:t>120 (Cert HE Level 4)</w:t>
            </w:r>
          </w:p>
        </w:tc>
      </w:tr>
      <w:tr w:rsidR="00EC0C92" w:rsidRPr="00EC0C92" w14:paraId="1264A216" w14:textId="77777777" w:rsidTr="002B2E7F">
        <w:tc>
          <w:tcPr>
            <w:tcW w:w="2689" w:type="dxa"/>
          </w:tcPr>
          <w:p w14:paraId="1932CAD4" w14:textId="77777777" w:rsidR="00EC0C92" w:rsidRPr="00EC0C92" w:rsidRDefault="00EC0C92" w:rsidP="002B2E7F">
            <w:pPr>
              <w:spacing w:before="60" w:after="60"/>
              <w:rPr>
                <w:rFonts w:eastAsia="Times New Roman"/>
                <w:b/>
              </w:rPr>
            </w:pPr>
            <w:r w:rsidRPr="00EC0C92">
              <w:rPr>
                <w:rFonts w:eastAsia="Times New Roman"/>
                <w:b/>
              </w:rPr>
              <w:t>ECTS</w:t>
            </w:r>
          </w:p>
        </w:tc>
        <w:tc>
          <w:tcPr>
            <w:tcW w:w="6167" w:type="dxa"/>
          </w:tcPr>
          <w:p w14:paraId="4C9BDC70" w14:textId="77777777" w:rsidR="00EC0C92" w:rsidRPr="00EC0C92" w:rsidRDefault="00EC0C92" w:rsidP="002B2E7F">
            <w:pPr>
              <w:spacing w:before="60" w:after="60"/>
              <w:rPr>
                <w:rFonts w:eastAsia="Times New Roman"/>
              </w:rPr>
            </w:pPr>
            <w:r w:rsidRPr="00EC0C92">
              <w:rPr>
                <w:rFonts w:eastAsia="Times New Roman"/>
              </w:rPr>
              <w:t xml:space="preserve">N/A </w:t>
            </w:r>
          </w:p>
        </w:tc>
      </w:tr>
    </w:tbl>
    <w:p w14:paraId="39AAE0F6" w14:textId="77777777" w:rsidR="00EC0C92" w:rsidRPr="00EC0C92" w:rsidRDefault="00EC0C92" w:rsidP="00EC0C92">
      <w:pPr>
        <w:spacing w:before="100"/>
        <w:rPr>
          <w:rFonts w:eastAsia="Times New Roman"/>
        </w:rPr>
      </w:pPr>
    </w:p>
    <w:p w14:paraId="6B851555"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bCs/>
          <w:caps/>
          <w:spacing w:val="15"/>
        </w:rPr>
      </w:pPr>
      <w:bookmarkStart w:id="1" w:name="_Toc17205947"/>
      <w:bookmarkStart w:id="2" w:name="_Toc17206212"/>
      <w:bookmarkStart w:id="3" w:name="_Toc101427804"/>
      <w:bookmarkStart w:id="4" w:name="_Toc106104951"/>
      <w:bookmarkStart w:id="5" w:name="_Toc106105029"/>
      <w:r w:rsidRPr="00EC0C92">
        <w:rPr>
          <w:rFonts w:eastAsia="Times New Roman"/>
          <w:b/>
          <w:bCs/>
          <w:caps/>
          <w:spacing w:val="15"/>
        </w:rPr>
        <w:t>Summary Description</w:t>
      </w:r>
      <w:bookmarkEnd w:id="1"/>
      <w:bookmarkEnd w:id="2"/>
      <w:bookmarkEnd w:id="3"/>
      <w:bookmarkEnd w:id="4"/>
      <w:bookmarkEnd w:id="5"/>
    </w:p>
    <w:p w14:paraId="6B904128" w14:textId="77777777" w:rsidR="00EC0C92" w:rsidRPr="00EC0C92" w:rsidRDefault="00EC0C92" w:rsidP="00EC0C92">
      <w:pPr>
        <w:spacing w:after="0" w:line="240" w:lineRule="auto"/>
        <w:rPr>
          <w:rFonts w:eastAsia="Times New Roman"/>
          <w:sz w:val="22"/>
          <w:szCs w:val="22"/>
        </w:rPr>
      </w:pPr>
      <w:bookmarkStart w:id="6" w:name="_Toc17205948"/>
      <w:bookmarkStart w:id="7" w:name="_Toc17206213"/>
      <w:bookmarkStart w:id="8" w:name="_Toc101427805"/>
      <w:bookmarkStart w:id="9" w:name="_Toc106104952"/>
      <w:bookmarkStart w:id="10" w:name="_Toc106105030"/>
    </w:p>
    <w:p w14:paraId="18208F4C" w14:textId="77777777" w:rsidR="00EC0C92" w:rsidRPr="00EC0C92" w:rsidRDefault="00EC0C92" w:rsidP="00EC0C92">
      <w:pPr>
        <w:spacing w:after="0" w:line="240" w:lineRule="auto"/>
        <w:rPr>
          <w:rFonts w:eastAsia="Times New Roman"/>
          <w:sz w:val="22"/>
          <w:szCs w:val="22"/>
        </w:rPr>
      </w:pPr>
      <w:r w:rsidRPr="00EC0C92">
        <w:rPr>
          <w:rFonts w:eastAsia="Times New Roman"/>
          <w:sz w:val="22"/>
          <w:szCs w:val="22"/>
        </w:rPr>
        <w:t xml:space="preserve">Designed to provide an entry on to specialist three-year programmes in a related discipline (either degree or diploma level), this programme offers the opportunity to develop and build on your performance skills, discover more about musical theatre, and explore possibilities for your personal, artistic and professional development. The course is designed to broaden the horizons of its students, and previous students have progressed on to BA (Hons) or Professional Diploma programmes in Musical Theatre, Acting, Acting for Screen, Actor Musicianship, Music, and Dance. </w:t>
      </w:r>
    </w:p>
    <w:p w14:paraId="34262283" w14:textId="77777777" w:rsidR="00EC0C92" w:rsidRPr="00EC0C92" w:rsidRDefault="00EC0C92" w:rsidP="00EC0C92">
      <w:pPr>
        <w:spacing w:after="0" w:line="240" w:lineRule="auto"/>
        <w:rPr>
          <w:rFonts w:eastAsia="Times New Roman"/>
          <w:color w:val="000000"/>
          <w:sz w:val="22"/>
          <w:szCs w:val="22"/>
        </w:rPr>
      </w:pPr>
    </w:p>
    <w:p w14:paraId="3606D581"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The Cert HE Foundations of Musical Theatre is designed for aspiring artists who wish to develop their skills and techniques through a dedicated programme of study rooted in studio and practice-based activity. It is an opportunity for students to access high-quality conservatoire study and may provide an entry route to further specialist/vocational training (e.g. undergraduate degree programmes within the conservatoire or wider higher education sectors) or a platform for a dedicated period of personal study and reflection with a vocational focus. </w:t>
      </w:r>
    </w:p>
    <w:p w14:paraId="3F398E81" w14:textId="77777777" w:rsidR="00EC0C92" w:rsidRPr="00EC0C92" w:rsidRDefault="00EC0C92" w:rsidP="00EC0C92">
      <w:pPr>
        <w:spacing w:after="0" w:line="240" w:lineRule="auto"/>
        <w:rPr>
          <w:rFonts w:eastAsia="Times New Roman"/>
          <w:color w:val="000000"/>
          <w:sz w:val="22"/>
          <w:szCs w:val="22"/>
        </w:rPr>
      </w:pPr>
    </w:p>
    <w:p w14:paraId="1E1CC022"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For international students it may additionally provide a route to develop their English Language skills alongside intensive vocational training. </w:t>
      </w:r>
    </w:p>
    <w:p w14:paraId="5003A6F3" w14:textId="77777777" w:rsidR="00EC0C92" w:rsidRPr="00EC0C92" w:rsidRDefault="00EC0C92" w:rsidP="00EC0C92">
      <w:pPr>
        <w:spacing w:after="0" w:line="240" w:lineRule="auto"/>
        <w:rPr>
          <w:rFonts w:eastAsia="Times New Roman"/>
          <w:color w:val="000000"/>
          <w:sz w:val="22"/>
          <w:szCs w:val="22"/>
        </w:rPr>
      </w:pPr>
    </w:p>
    <w:p w14:paraId="3728A6DF"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Students may also wish to use the programme as a platform for access to London’s vibrant cultural life.</w:t>
      </w:r>
    </w:p>
    <w:p w14:paraId="2D9696C0" w14:textId="77777777" w:rsidR="00EC0C92" w:rsidRPr="00EC0C92" w:rsidRDefault="00EC0C92" w:rsidP="00EC0C92">
      <w:pPr>
        <w:spacing w:after="0" w:line="240" w:lineRule="auto"/>
        <w:rPr>
          <w:rFonts w:eastAsia="Times New Roman"/>
          <w:color w:val="000000"/>
          <w:sz w:val="22"/>
          <w:szCs w:val="22"/>
        </w:rPr>
      </w:pPr>
    </w:p>
    <w:p w14:paraId="05220025" w14:textId="77777777" w:rsid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On successful completion of this programme, participating students receive a transcript including a full listing of the learning undertaken.</w:t>
      </w:r>
    </w:p>
    <w:p w14:paraId="759F5E45" w14:textId="77777777" w:rsidR="00EC0C92" w:rsidRPr="00EC0C92" w:rsidRDefault="00EC0C92" w:rsidP="00EC0C92">
      <w:pPr>
        <w:spacing w:after="0" w:line="240" w:lineRule="auto"/>
        <w:rPr>
          <w:rFonts w:eastAsia="Times New Roman"/>
          <w:color w:val="000000"/>
          <w:sz w:val="22"/>
          <w:szCs w:val="22"/>
        </w:rPr>
      </w:pPr>
    </w:p>
    <w:p w14:paraId="046C4E5B"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bCs/>
          <w:caps/>
          <w:spacing w:val="15"/>
        </w:rPr>
      </w:pPr>
      <w:r w:rsidRPr="00EC0C92">
        <w:rPr>
          <w:rFonts w:eastAsia="Times New Roman"/>
          <w:b/>
          <w:bCs/>
          <w:caps/>
          <w:spacing w:val="15"/>
        </w:rPr>
        <w:t>Learning Outcomes</w:t>
      </w:r>
      <w:bookmarkEnd w:id="6"/>
      <w:bookmarkEnd w:id="7"/>
      <w:bookmarkEnd w:id="8"/>
      <w:bookmarkEnd w:id="9"/>
      <w:bookmarkEnd w:id="10"/>
    </w:p>
    <w:p w14:paraId="4A06B467" w14:textId="77777777" w:rsidR="00EC0C92" w:rsidRPr="00EC0C92" w:rsidRDefault="00EC0C92" w:rsidP="00EC0C92">
      <w:pPr>
        <w:spacing w:before="100"/>
        <w:rPr>
          <w:rFonts w:eastAsia="Times New Roman"/>
          <w:sz w:val="22"/>
          <w:szCs w:val="22"/>
        </w:rPr>
      </w:pPr>
      <w:r w:rsidRPr="00EC0C92">
        <w:rPr>
          <w:rFonts w:eastAsia="Times New Roman"/>
          <w:sz w:val="22"/>
          <w:szCs w:val="22"/>
        </w:rPr>
        <w:t>On successful completion of this programme, a student will be expected to be able to demonstrate:</w:t>
      </w:r>
    </w:p>
    <w:p w14:paraId="7E43A7DC" w14:textId="77777777" w:rsidR="00EC0C92" w:rsidRPr="00EC0C92" w:rsidRDefault="00EC0C92" w:rsidP="00EC0C92">
      <w:pPr>
        <w:spacing w:before="100"/>
        <w:rPr>
          <w:rFonts w:eastAsia="Times New Roman"/>
          <w:b/>
          <w:sz w:val="22"/>
          <w:szCs w:val="22"/>
        </w:rPr>
      </w:pPr>
      <w:r w:rsidRPr="00EC0C92">
        <w:rPr>
          <w:rFonts w:eastAsia="Times New Roman"/>
          <w:b/>
          <w:sz w:val="22"/>
          <w:szCs w:val="22"/>
        </w:rPr>
        <w:t xml:space="preserve">Knowledge and understanding </w:t>
      </w:r>
    </w:p>
    <w:p w14:paraId="048B97F7"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Knowledge and understanding of the technical requirements of the different musical theatre core skills (singing, acting, dance</w:t>
      </w:r>
      <w:proofErr w:type="gramStart"/>
      <w:r w:rsidRPr="00EC0C92">
        <w:rPr>
          <w:rFonts w:eastAsia="Times New Roman"/>
          <w:sz w:val="22"/>
          <w:szCs w:val="22"/>
        </w:rPr>
        <w:t>);</w:t>
      </w:r>
      <w:proofErr w:type="gramEnd"/>
    </w:p>
    <w:p w14:paraId="7A5187B7"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Knowledge and understanding of how to relate vocal and physical performance technique to character and </w:t>
      </w:r>
      <w:proofErr w:type="gramStart"/>
      <w:r w:rsidRPr="00EC0C92">
        <w:rPr>
          <w:rFonts w:eastAsia="Times New Roman"/>
          <w:sz w:val="22"/>
          <w:szCs w:val="22"/>
        </w:rPr>
        <w:t>style;</w:t>
      </w:r>
      <w:proofErr w:type="gramEnd"/>
    </w:p>
    <w:p w14:paraId="24D05F09"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lastRenderedPageBreak/>
        <w:t>Knowledge and understanding of how analysis techniques can be used to deconstruct a script/</w:t>
      </w:r>
      <w:proofErr w:type="gramStart"/>
      <w:r w:rsidRPr="00EC0C92">
        <w:rPr>
          <w:rFonts w:eastAsia="Times New Roman"/>
          <w:sz w:val="22"/>
          <w:szCs w:val="22"/>
        </w:rPr>
        <w:t>song;</w:t>
      </w:r>
      <w:proofErr w:type="gramEnd"/>
    </w:p>
    <w:p w14:paraId="68DA90F1"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Knowledge and understanding of how research and contextual information can be used to inform </w:t>
      </w:r>
      <w:proofErr w:type="gramStart"/>
      <w:r w:rsidRPr="00EC0C92">
        <w:rPr>
          <w:rFonts w:eastAsia="Times New Roman"/>
          <w:sz w:val="22"/>
          <w:szCs w:val="22"/>
        </w:rPr>
        <w:t>performance;</w:t>
      </w:r>
      <w:proofErr w:type="gramEnd"/>
    </w:p>
    <w:p w14:paraId="23F761FE"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Understanding of healthy and safe practices.</w:t>
      </w:r>
    </w:p>
    <w:p w14:paraId="64770B16" w14:textId="77777777" w:rsidR="00EC0C92" w:rsidRPr="00EC0C92" w:rsidRDefault="00EC0C92" w:rsidP="00EC0C92">
      <w:pPr>
        <w:spacing w:after="0" w:line="240" w:lineRule="auto"/>
        <w:ind w:left="360"/>
        <w:rPr>
          <w:rFonts w:eastAsia="Times New Roman"/>
          <w:sz w:val="22"/>
          <w:szCs w:val="22"/>
        </w:rPr>
      </w:pPr>
    </w:p>
    <w:p w14:paraId="45F14593" w14:textId="77777777" w:rsidR="00EC0C92" w:rsidRPr="00EC0C92" w:rsidRDefault="00EC0C92" w:rsidP="00EC0C92">
      <w:pPr>
        <w:spacing w:after="0" w:line="240" w:lineRule="auto"/>
        <w:rPr>
          <w:rFonts w:eastAsia="Times New Roman"/>
          <w:b/>
          <w:sz w:val="22"/>
          <w:szCs w:val="22"/>
        </w:rPr>
      </w:pPr>
      <w:r w:rsidRPr="00EC0C92">
        <w:rPr>
          <w:rFonts w:eastAsia="Times New Roman"/>
          <w:b/>
          <w:sz w:val="22"/>
          <w:szCs w:val="22"/>
        </w:rPr>
        <w:t xml:space="preserve">Skills </w:t>
      </w:r>
    </w:p>
    <w:p w14:paraId="5406F889" w14:textId="77777777" w:rsidR="00EC0C92" w:rsidRPr="00EC0C92" w:rsidRDefault="00EC0C92" w:rsidP="00EC0C92">
      <w:pPr>
        <w:spacing w:after="0" w:line="240" w:lineRule="auto"/>
        <w:rPr>
          <w:rFonts w:eastAsia="Times New Roman"/>
          <w:b/>
          <w:sz w:val="22"/>
          <w:szCs w:val="22"/>
        </w:rPr>
      </w:pPr>
    </w:p>
    <w:p w14:paraId="2A797B55"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The ability to use critical and analytical skills to select appropriate material for </w:t>
      </w:r>
      <w:proofErr w:type="gramStart"/>
      <w:r w:rsidRPr="00EC0C92">
        <w:rPr>
          <w:rFonts w:eastAsia="Times New Roman"/>
          <w:sz w:val="22"/>
          <w:szCs w:val="22"/>
        </w:rPr>
        <w:t>performance;</w:t>
      </w:r>
      <w:proofErr w:type="gramEnd"/>
    </w:p>
    <w:p w14:paraId="117D445F"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The ability to retain and retain basic technical skills in singing, acting, and </w:t>
      </w:r>
      <w:proofErr w:type="gramStart"/>
      <w:r w:rsidRPr="00EC0C92">
        <w:rPr>
          <w:rFonts w:eastAsia="Times New Roman"/>
          <w:sz w:val="22"/>
          <w:szCs w:val="22"/>
        </w:rPr>
        <w:t>dance;</w:t>
      </w:r>
      <w:proofErr w:type="gramEnd"/>
    </w:p>
    <w:p w14:paraId="0DB4B7D9"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The ability to connect acquired vocal and physical technical skills with character and performance </w:t>
      </w:r>
      <w:proofErr w:type="gramStart"/>
      <w:r w:rsidRPr="00EC0C92">
        <w:rPr>
          <w:rFonts w:eastAsia="Times New Roman"/>
          <w:sz w:val="22"/>
          <w:szCs w:val="22"/>
        </w:rPr>
        <w:t>style;</w:t>
      </w:r>
      <w:proofErr w:type="gramEnd"/>
    </w:p>
    <w:p w14:paraId="68FDB04F"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The ability to establish meaningful connections between disciplines and use this to enhance </w:t>
      </w:r>
      <w:proofErr w:type="gramStart"/>
      <w:r w:rsidRPr="00EC0C92">
        <w:rPr>
          <w:rFonts w:eastAsia="Times New Roman"/>
          <w:sz w:val="22"/>
          <w:szCs w:val="22"/>
        </w:rPr>
        <w:t>practice;</w:t>
      </w:r>
      <w:proofErr w:type="gramEnd"/>
    </w:p>
    <w:p w14:paraId="6761B48B"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The ability to respond effectively to feedback from peers, tutors, creative teams, and to own discoveries made during personal evaluation </w:t>
      </w:r>
      <w:proofErr w:type="gramStart"/>
      <w:r w:rsidRPr="00EC0C92">
        <w:rPr>
          <w:rFonts w:eastAsia="Times New Roman"/>
          <w:sz w:val="22"/>
          <w:szCs w:val="22"/>
        </w:rPr>
        <w:t>processes;</w:t>
      </w:r>
      <w:proofErr w:type="gramEnd"/>
    </w:p>
    <w:p w14:paraId="2A581D47"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The ability to employ research skills in order to investigate historical and theoretical information and use the findings to support practical </w:t>
      </w:r>
      <w:proofErr w:type="gramStart"/>
      <w:r w:rsidRPr="00EC0C92">
        <w:rPr>
          <w:rFonts w:eastAsia="Times New Roman"/>
          <w:sz w:val="22"/>
          <w:szCs w:val="22"/>
        </w:rPr>
        <w:t>work;</w:t>
      </w:r>
      <w:proofErr w:type="gramEnd"/>
    </w:p>
    <w:p w14:paraId="1167EC09" w14:textId="77777777" w:rsidR="00EC0C92" w:rsidRPr="00EC0C92" w:rsidRDefault="00EC0C92" w:rsidP="00EC0C92">
      <w:pPr>
        <w:spacing w:after="0" w:line="240" w:lineRule="auto"/>
        <w:rPr>
          <w:rFonts w:eastAsia="Times New Roman"/>
          <w:sz w:val="22"/>
          <w:szCs w:val="22"/>
          <w:u w:val="single"/>
        </w:rPr>
      </w:pPr>
    </w:p>
    <w:p w14:paraId="5AD6D46F" w14:textId="77777777" w:rsidR="00EC0C92" w:rsidRPr="00EC0C92" w:rsidRDefault="00EC0C92" w:rsidP="00EC0C92">
      <w:pPr>
        <w:spacing w:after="0" w:line="240" w:lineRule="auto"/>
        <w:rPr>
          <w:rFonts w:eastAsia="Times New Roman"/>
          <w:b/>
          <w:sz w:val="22"/>
          <w:szCs w:val="22"/>
        </w:rPr>
      </w:pPr>
      <w:r w:rsidRPr="00EC0C92">
        <w:rPr>
          <w:rFonts w:eastAsia="Times New Roman"/>
          <w:b/>
          <w:sz w:val="22"/>
          <w:szCs w:val="22"/>
        </w:rPr>
        <w:t xml:space="preserve">Values and attitudes </w:t>
      </w:r>
    </w:p>
    <w:p w14:paraId="7EA084E1" w14:textId="77777777" w:rsidR="00EC0C92" w:rsidRPr="00EC0C92" w:rsidRDefault="00EC0C92" w:rsidP="00EC0C92">
      <w:pPr>
        <w:spacing w:after="0" w:line="240" w:lineRule="auto"/>
        <w:rPr>
          <w:rFonts w:eastAsia="Times New Roman"/>
          <w:b/>
          <w:sz w:val="22"/>
          <w:szCs w:val="22"/>
        </w:rPr>
      </w:pPr>
    </w:p>
    <w:p w14:paraId="6F16B4C8"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Display awareness of professional conduct, including:</w:t>
      </w:r>
    </w:p>
    <w:p w14:paraId="55223F09" w14:textId="77777777" w:rsidR="00EC0C92" w:rsidRPr="00EC0C92" w:rsidRDefault="00EC0C92" w:rsidP="00EC0C92">
      <w:pPr>
        <w:numPr>
          <w:ilvl w:val="0"/>
          <w:numId w:val="2"/>
        </w:numPr>
        <w:spacing w:before="100" w:after="0" w:line="240" w:lineRule="auto"/>
        <w:contextualSpacing/>
        <w:rPr>
          <w:rFonts w:eastAsia="Times New Roman"/>
          <w:sz w:val="22"/>
          <w:szCs w:val="22"/>
        </w:rPr>
      </w:pPr>
      <w:r w:rsidRPr="00EC0C92">
        <w:rPr>
          <w:rFonts w:eastAsia="Times New Roman"/>
          <w:sz w:val="22"/>
          <w:szCs w:val="22"/>
        </w:rPr>
        <w:t>Presentation</w:t>
      </w:r>
    </w:p>
    <w:p w14:paraId="1DD92925" w14:textId="77777777" w:rsidR="00EC0C92" w:rsidRPr="00EC0C92" w:rsidRDefault="00EC0C92" w:rsidP="00EC0C92">
      <w:pPr>
        <w:numPr>
          <w:ilvl w:val="0"/>
          <w:numId w:val="2"/>
        </w:numPr>
        <w:spacing w:before="100" w:after="0" w:line="240" w:lineRule="auto"/>
        <w:contextualSpacing/>
        <w:rPr>
          <w:rFonts w:eastAsia="Times New Roman"/>
          <w:sz w:val="22"/>
          <w:szCs w:val="22"/>
        </w:rPr>
      </w:pPr>
      <w:r w:rsidRPr="00EC0C92">
        <w:rPr>
          <w:rFonts w:eastAsia="Times New Roman"/>
          <w:sz w:val="22"/>
          <w:szCs w:val="22"/>
        </w:rPr>
        <w:t>Excellent attendance and punctuality</w:t>
      </w:r>
    </w:p>
    <w:p w14:paraId="2F0C20FF" w14:textId="77777777" w:rsidR="00EC0C92" w:rsidRPr="00EC0C92" w:rsidRDefault="00EC0C92" w:rsidP="00EC0C92">
      <w:pPr>
        <w:numPr>
          <w:ilvl w:val="0"/>
          <w:numId w:val="2"/>
        </w:numPr>
        <w:spacing w:before="100" w:after="0" w:line="240" w:lineRule="auto"/>
        <w:contextualSpacing/>
        <w:rPr>
          <w:rFonts w:eastAsia="Times New Roman"/>
          <w:sz w:val="22"/>
          <w:szCs w:val="22"/>
        </w:rPr>
      </w:pPr>
      <w:proofErr w:type="gramStart"/>
      <w:r w:rsidRPr="00EC0C92">
        <w:rPr>
          <w:rFonts w:eastAsia="Times New Roman"/>
          <w:sz w:val="22"/>
          <w:szCs w:val="22"/>
        </w:rPr>
        <w:t>Self-discipline;</w:t>
      </w:r>
      <w:proofErr w:type="gramEnd"/>
    </w:p>
    <w:p w14:paraId="7F5AA515"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Recognise and value healthy and safe </w:t>
      </w:r>
      <w:proofErr w:type="gramStart"/>
      <w:r w:rsidRPr="00EC0C92">
        <w:rPr>
          <w:rFonts w:eastAsia="Times New Roman"/>
          <w:sz w:val="22"/>
          <w:szCs w:val="22"/>
        </w:rPr>
        <w:t>practices;</w:t>
      </w:r>
      <w:proofErr w:type="gramEnd"/>
    </w:p>
    <w:p w14:paraId="537C1DA6"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Work with tutors/a Creative Team and as part of a supportive company towards the shared goal of a high-quality end </w:t>
      </w:r>
      <w:proofErr w:type="gramStart"/>
      <w:r w:rsidRPr="00EC0C92">
        <w:rPr>
          <w:rFonts w:eastAsia="Times New Roman"/>
          <w:sz w:val="22"/>
          <w:szCs w:val="22"/>
        </w:rPr>
        <w:t>product;</w:t>
      </w:r>
      <w:proofErr w:type="gramEnd"/>
    </w:p>
    <w:p w14:paraId="5B8A4F6E"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 xml:space="preserve">Provide evidence of the development of various strategies for personal maintenance and </w:t>
      </w:r>
      <w:proofErr w:type="gramStart"/>
      <w:r w:rsidRPr="00EC0C92">
        <w:rPr>
          <w:rFonts w:eastAsia="Times New Roman"/>
          <w:sz w:val="22"/>
          <w:szCs w:val="22"/>
        </w:rPr>
        <w:t>wellbeing;</w:t>
      </w:r>
      <w:proofErr w:type="gramEnd"/>
    </w:p>
    <w:p w14:paraId="64161EE7" w14:textId="77777777" w:rsidR="00EC0C92" w:rsidRPr="00EC0C92" w:rsidRDefault="00EC0C92" w:rsidP="00EC0C92">
      <w:pPr>
        <w:numPr>
          <w:ilvl w:val="0"/>
          <w:numId w:val="1"/>
        </w:numPr>
        <w:spacing w:before="100" w:after="0" w:line="240" w:lineRule="auto"/>
        <w:rPr>
          <w:rFonts w:eastAsia="Times New Roman"/>
          <w:sz w:val="22"/>
          <w:szCs w:val="22"/>
        </w:rPr>
      </w:pPr>
      <w:r w:rsidRPr="00EC0C92">
        <w:rPr>
          <w:rFonts w:eastAsia="Times New Roman"/>
          <w:sz w:val="22"/>
          <w:szCs w:val="22"/>
        </w:rPr>
        <w:t>Manage own time and workload efficiently and effectively.</w:t>
      </w:r>
    </w:p>
    <w:p w14:paraId="3FAC6BFE" w14:textId="77777777" w:rsidR="00EC0C92" w:rsidRPr="00EC0C92" w:rsidRDefault="00EC0C92" w:rsidP="00EC0C92">
      <w:pPr>
        <w:spacing w:before="100" w:after="160" w:line="259" w:lineRule="auto"/>
        <w:rPr>
          <w:rFonts w:eastAsia="Times New Roman"/>
          <w:sz w:val="22"/>
          <w:szCs w:val="22"/>
          <w:highlight w:val="yellow"/>
          <w:u w:val="single"/>
        </w:rPr>
      </w:pPr>
    </w:p>
    <w:p w14:paraId="54B7D493"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bCs/>
          <w:caps/>
          <w:spacing w:val="15"/>
          <w:sz w:val="22"/>
          <w:szCs w:val="22"/>
        </w:rPr>
      </w:pPr>
      <w:bookmarkStart w:id="11" w:name="_Toc17205949"/>
      <w:bookmarkStart w:id="12" w:name="_Toc17206214"/>
      <w:bookmarkStart w:id="13" w:name="_Toc101427806"/>
      <w:bookmarkStart w:id="14" w:name="_Toc106104953"/>
      <w:bookmarkStart w:id="15" w:name="_Toc106105031"/>
      <w:r w:rsidRPr="00EC0C92">
        <w:rPr>
          <w:rFonts w:eastAsia="Times New Roman"/>
          <w:b/>
          <w:bCs/>
          <w:caps/>
          <w:spacing w:val="15"/>
          <w:sz w:val="22"/>
          <w:szCs w:val="22"/>
        </w:rPr>
        <w:t>Graduate Attributes</w:t>
      </w:r>
      <w:bookmarkEnd w:id="11"/>
      <w:bookmarkEnd w:id="12"/>
      <w:bookmarkEnd w:id="13"/>
      <w:bookmarkEnd w:id="14"/>
      <w:bookmarkEnd w:id="15"/>
    </w:p>
    <w:p w14:paraId="2B62FB6C"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In achieving institutional learning and teaching goals, Trinity Laban aims to produce graduates from our Undergraduate programmes who (variously through their differing programmes of study):</w:t>
      </w:r>
    </w:p>
    <w:p w14:paraId="0F5426EB"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1. Are highly creative and resourceful and exhibit technical excellence within their field</w:t>
      </w:r>
    </w:p>
    <w:p w14:paraId="2A65C031"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2. Have outstanding performance skills</w:t>
      </w:r>
    </w:p>
    <w:p w14:paraId="1C8AE1D5"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3. Are familiar with the possibilities offered by and through collaborative forms of working</w:t>
      </w:r>
    </w:p>
    <w:p w14:paraId="17066D8A"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4. Have extensive knowledge of the context within which dance/music work is created and performed</w:t>
      </w:r>
    </w:p>
    <w:p w14:paraId="6CA513B5"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5. Are confident in the creative use of technologies within their art-form</w:t>
      </w:r>
    </w:p>
    <w:p w14:paraId="13F1F906"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6. Have the skills to develop as effective project leaders, able both to devise and manage their own performance projects, workshops, research, and to participate as team members in such activities</w:t>
      </w:r>
    </w:p>
    <w:p w14:paraId="44EB0ECE"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7. Have the capacity to recognise the applied potential of their art form to engage with a variety of contexts such as social, community, performance, business, education</w:t>
      </w:r>
    </w:p>
    <w:p w14:paraId="08A3D473"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 xml:space="preserve">8. Have the potential to articulate persuasively and encourage and direct the participation of others in their art </w:t>
      </w:r>
      <w:proofErr w:type="gramStart"/>
      <w:r w:rsidRPr="00EC0C92">
        <w:rPr>
          <w:rFonts w:eastAsia="Times New Roman"/>
          <w:sz w:val="22"/>
          <w:szCs w:val="22"/>
        </w:rPr>
        <w:t>form;</w:t>
      </w:r>
      <w:proofErr w:type="gramEnd"/>
    </w:p>
    <w:p w14:paraId="1019EA91"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9. Are equipped to take advantage of the wide range of employment opportunities available within the arts industries, and who understand how to generate their own work and have the skills to manage a sustainable and enriching career.</w:t>
      </w:r>
    </w:p>
    <w:p w14:paraId="4D486549" w14:textId="77777777" w:rsidR="00EC0C92" w:rsidRPr="00EC0C92" w:rsidRDefault="00EC0C92" w:rsidP="00EC0C92">
      <w:pPr>
        <w:spacing w:before="100" w:after="0"/>
        <w:rPr>
          <w:rFonts w:eastAsia="Times New Roman"/>
          <w:sz w:val="22"/>
          <w:szCs w:val="22"/>
        </w:rPr>
      </w:pPr>
      <w:r w:rsidRPr="00EC0C92">
        <w:rPr>
          <w:rFonts w:eastAsia="Times New Roman"/>
          <w:sz w:val="22"/>
          <w:szCs w:val="22"/>
        </w:rPr>
        <w:t xml:space="preserve">These attributes relate also to the Cert HE, acknowledging what should be achieved by the end of Level 4. </w:t>
      </w:r>
    </w:p>
    <w:p w14:paraId="6D628C97" w14:textId="77777777" w:rsidR="00EC0C92" w:rsidRPr="00EC0C92" w:rsidRDefault="00EC0C92" w:rsidP="00EC0C92">
      <w:pPr>
        <w:spacing w:before="100" w:after="0"/>
        <w:rPr>
          <w:rFonts w:eastAsia="Times New Roman"/>
          <w:sz w:val="22"/>
          <w:szCs w:val="22"/>
        </w:rPr>
      </w:pPr>
    </w:p>
    <w:p w14:paraId="78B86C58"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caps/>
          <w:spacing w:val="15"/>
          <w:sz w:val="22"/>
          <w:szCs w:val="22"/>
        </w:rPr>
      </w:pPr>
      <w:r w:rsidRPr="00EC0C92">
        <w:rPr>
          <w:rFonts w:eastAsia="Times New Roman"/>
          <w:b/>
          <w:caps/>
          <w:spacing w:val="15"/>
          <w:sz w:val="22"/>
          <w:szCs w:val="22"/>
        </w:rPr>
        <w:t>CURRICULUM</w:t>
      </w:r>
    </w:p>
    <w:p w14:paraId="562176F6" w14:textId="77777777" w:rsidR="00EC0C92" w:rsidRPr="00EC0C92" w:rsidRDefault="00EC0C92" w:rsidP="00EC0C92">
      <w:pPr>
        <w:spacing w:before="100"/>
        <w:rPr>
          <w:rFonts w:eastAsia="Times New Roman"/>
          <w:b/>
          <w:sz w:val="22"/>
          <w:szCs w:val="22"/>
        </w:rPr>
      </w:pPr>
      <w:r w:rsidRPr="00EC0C92">
        <w:rPr>
          <w:rFonts w:eastAsia="Times New Roman"/>
          <w:b/>
          <w:sz w:val="22"/>
          <w:szCs w:val="22"/>
        </w:rPr>
        <w:t xml:space="preserve">Structure </w:t>
      </w:r>
    </w:p>
    <w:p w14:paraId="5CDD931B" w14:textId="77777777" w:rsidR="00EC0C92" w:rsidRPr="00EC0C92" w:rsidRDefault="00EC0C92" w:rsidP="00EC0C92">
      <w:pPr>
        <w:spacing w:before="100"/>
        <w:rPr>
          <w:rFonts w:eastAsia="Times New Roman"/>
          <w:color w:val="000000"/>
          <w:sz w:val="22"/>
          <w:szCs w:val="22"/>
        </w:rPr>
      </w:pPr>
      <w:r w:rsidRPr="00EC0C92">
        <w:rPr>
          <w:rFonts w:eastAsia="Times New Roman"/>
          <w:color w:val="000000"/>
          <w:sz w:val="22"/>
          <w:szCs w:val="22"/>
        </w:rPr>
        <w:t xml:space="preserve">The </w:t>
      </w:r>
      <w:r w:rsidRPr="00EC0C92">
        <w:rPr>
          <w:rFonts w:eastAsia="Times New Roman"/>
          <w:i/>
          <w:color w:val="000000"/>
          <w:sz w:val="22"/>
          <w:szCs w:val="22"/>
        </w:rPr>
        <w:t>Preparing to Perform</w:t>
      </w:r>
      <w:r w:rsidRPr="00EC0C92">
        <w:rPr>
          <w:rFonts w:eastAsia="Times New Roman"/>
          <w:color w:val="000000"/>
          <w:sz w:val="22"/>
          <w:szCs w:val="22"/>
        </w:rPr>
        <w:t xml:space="preserve"> module activities take place primarily during an intensive 5-week period during the </w:t>
      </w:r>
      <w:proofErr w:type="gramStart"/>
      <w:r w:rsidRPr="00EC0C92">
        <w:rPr>
          <w:rFonts w:eastAsia="Times New Roman"/>
          <w:color w:val="000000"/>
          <w:sz w:val="22"/>
          <w:szCs w:val="22"/>
        </w:rPr>
        <w:t>Summer</w:t>
      </w:r>
      <w:proofErr w:type="gramEnd"/>
      <w:r w:rsidRPr="00EC0C92">
        <w:rPr>
          <w:rFonts w:eastAsia="Times New Roman"/>
          <w:color w:val="000000"/>
          <w:sz w:val="22"/>
          <w:szCs w:val="22"/>
        </w:rPr>
        <w:t xml:space="preserve"> term. </w:t>
      </w:r>
    </w:p>
    <w:p w14:paraId="3B61678C" w14:textId="77777777" w:rsidR="00EC0C92" w:rsidRPr="00EC0C92" w:rsidRDefault="00EC0C92" w:rsidP="00EC0C92">
      <w:pPr>
        <w:spacing w:before="100"/>
        <w:rPr>
          <w:rFonts w:eastAsia="Times New Roman"/>
          <w:color w:val="000000"/>
          <w:sz w:val="22"/>
          <w:szCs w:val="22"/>
        </w:rPr>
      </w:pPr>
      <w:r w:rsidRPr="00EC0C92">
        <w:rPr>
          <w:rFonts w:eastAsia="Times New Roman"/>
          <w:color w:val="000000"/>
          <w:sz w:val="22"/>
          <w:szCs w:val="22"/>
        </w:rPr>
        <w:t xml:space="preserve">All other programme elements contained within the </w:t>
      </w:r>
      <w:r w:rsidRPr="00EC0C92">
        <w:rPr>
          <w:rFonts w:eastAsia="Times New Roman"/>
          <w:i/>
          <w:color w:val="000000"/>
          <w:sz w:val="22"/>
          <w:szCs w:val="22"/>
        </w:rPr>
        <w:t>Skills and Techniques</w:t>
      </w:r>
      <w:r w:rsidRPr="00EC0C92">
        <w:rPr>
          <w:rFonts w:eastAsia="Times New Roman"/>
          <w:color w:val="000000"/>
          <w:sz w:val="22"/>
          <w:szCs w:val="22"/>
        </w:rPr>
        <w:t xml:space="preserve"> and </w:t>
      </w:r>
      <w:r w:rsidRPr="00EC0C92">
        <w:rPr>
          <w:rFonts w:eastAsia="Times New Roman"/>
          <w:i/>
          <w:color w:val="000000"/>
          <w:sz w:val="22"/>
          <w:szCs w:val="22"/>
        </w:rPr>
        <w:t>Preparing to Audition</w:t>
      </w:r>
      <w:r w:rsidRPr="00EC0C92">
        <w:rPr>
          <w:rFonts w:eastAsia="Times New Roman"/>
          <w:color w:val="000000"/>
          <w:sz w:val="22"/>
          <w:szCs w:val="22"/>
        </w:rPr>
        <w:t xml:space="preserve"> modules take place over the first two terms. Summative assessments take place at the end of the </w:t>
      </w:r>
      <w:r w:rsidRPr="00EC0C92">
        <w:rPr>
          <w:rFonts w:eastAsia="Times New Roman"/>
          <w:i/>
          <w:color w:val="000000"/>
          <w:sz w:val="22"/>
          <w:szCs w:val="22"/>
        </w:rPr>
        <w:t>Skills and Techniques</w:t>
      </w:r>
      <w:r w:rsidRPr="00EC0C92">
        <w:rPr>
          <w:rFonts w:eastAsia="Times New Roman"/>
          <w:color w:val="000000"/>
          <w:sz w:val="22"/>
          <w:szCs w:val="22"/>
        </w:rPr>
        <w:t xml:space="preserve">, </w:t>
      </w:r>
      <w:r w:rsidRPr="00EC0C92">
        <w:rPr>
          <w:rFonts w:eastAsia="Times New Roman"/>
          <w:i/>
          <w:color w:val="000000"/>
          <w:sz w:val="22"/>
          <w:szCs w:val="22"/>
        </w:rPr>
        <w:t>Preparing to Perform</w:t>
      </w:r>
      <w:r w:rsidRPr="00EC0C92">
        <w:rPr>
          <w:rFonts w:eastAsia="Times New Roman"/>
          <w:color w:val="000000"/>
          <w:sz w:val="22"/>
          <w:szCs w:val="22"/>
        </w:rPr>
        <w:t xml:space="preserve">, and </w:t>
      </w:r>
      <w:r w:rsidRPr="00EC0C92">
        <w:rPr>
          <w:rFonts w:eastAsia="Times New Roman"/>
          <w:i/>
          <w:color w:val="000000"/>
          <w:sz w:val="22"/>
          <w:szCs w:val="22"/>
        </w:rPr>
        <w:t>Preparing to Audition</w:t>
      </w:r>
      <w:r w:rsidRPr="00EC0C92">
        <w:rPr>
          <w:rFonts w:eastAsia="Times New Roman"/>
          <w:color w:val="000000"/>
          <w:sz w:val="22"/>
          <w:szCs w:val="22"/>
        </w:rPr>
        <w:t xml:space="preserve"> modules.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31"/>
        <w:gridCol w:w="1037"/>
        <w:gridCol w:w="1185"/>
        <w:gridCol w:w="1926"/>
        <w:gridCol w:w="875"/>
      </w:tblGrid>
      <w:tr w:rsidR="00EC0C92" w:rsidRPr="00EC0C92" w14:paraId="6B8E306A" w14:textId="77777777" w:rsidTr="002B2E7F">
        <w:tc>
          <w:tcPr>
            <w:tcW w:w="1476" w:type="pct"/>
          </w:tcPr>
          <w:p w14:paraId="22CE3F8D"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Module Title</w:t>
            </w:r>
          </w:p>
        </w:tc>
        <w:tc>
          <w:tcPr>
            <w:tcW w:w="738" w:type="pct"/>
          </w:tcPr>
          <w:p w14:paraId="5D68C7F5"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Module Code</w:t>
            </w:r>
          </w:p>
        </w:tc>
        <w:tc>
          <w:tcPr>
            <w:tcW w:w="575" w:type="pct"/>
          </w:tcPr>
          <w:p w14:paraId="17CBE3A3"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Module Credits</w:t>
            </w:r>
          </w:p>
        </w:tc>
        <w:tc>
          <w:tcPr>
            <w:tcW w:w="657" w:type="pct"/>
          </w:tcPr>
          <w:p w14:paraId="03E8B1B2"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Core/ Elective</w:t>
            </w:r>
          </w:p>
        </w:tc>
        <w:tc>
          <w:tcPr>
            <w:tcW w:w="1068" w:type="pct"/>
          </w:tcPr>
          <w:p w14:paraId="10F5A61A"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Compensation Yes/No</w:t>
            </w:r>
          </w:p>
        </w:tc>
        <w:tc>
          <w:tcPr>
            <w:tcW w:w="485" w:type="pct"/>
          </w:tcPr>
          <w:p w14:paraId="3AF1DBE8"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Level</w:t>
            </w:r>
          </w:p>
        </w:tc>
      </w:tr>
      <w:tr w:rsidR="00EC0C92" w:rsidRPr="00EC0C92" w14:paraId="111D50C9" w14:textId="77777777" w:rsidTr="002B2E7F">
        <w:tc>
          <w:tcPr>
            <w:tcW w:w="1476" w:type="pct"/>
          </w:tcPr>
          <w:p w14:paraId="48E44A3E" w14:textId="77777777" w:rsidR="00EC0C92" w:rsidRPr="00EC0C92" w:rsidRDefault="00EC0C92" w:rsidP="002B2E7F">
            <w:pPr>
              <w:spacing w:before="100"/>
              <w:rPr>
                <w:rFonts w:eastAsia="Times New Roman"/>
                <w:sz w:val="22"/>
                <w:szCs w:val="22"/>
              </w:rPr>
            </w:pPr>
            <w:r w:rsidRPr="00EC0C92">
              <w:rPr>
                <w:rFonts w:eastAsia="Times New Roman"/>
                <w:sz w:val="22"/>
                <w:szCs w:val="22"/>
              </w:rPr>
              <w:t>Skills and Techniques</w:t>
            </w:r>
          </w:p>
        </w:tc>
        <w:tc>
          <w:tcPr>
            <w:tcW w:w="738" w:type="pct"/>
          </w:tcPr>
          <w:p w14:paraId="7901108D" w14:textId="135286EB" w:rsidR="00EC0C92" w:rsidRPr="00EC0C92" w:rsidRDefault="003B44F5" w:rsidP="002B2E7F">
            <w:pPr>
              <w:spacing w:before="100"/>
              <w:rPr>
                <w:rFonts w:eastAsia="Times New Roman"/>
                <w:sz w:val="22"/>
                <w:szCs w:val="22"/>
              </w:rPr>
            </w:pPr>
            <w:r w:rsidRPr="003B44F5">
              <w:rPr>
                <w:rFonts w:eastAsia="Times New Roman"/>
                <w:sz w:val="22"/>
                <w:szCs w:val="22"/>
              </w:rPr>
              <w:t>M40105</w:t>
            </w:r>
          </w:p>
        </w:tc>
        <w:tc>
          <w:tcPr>
            <w:tcW w:w="575" w:type="pct"/>
          </w:tcPr>
          <w:p w14:paraId="38E4DDDF" w14:textId="77777777" w:rsidR="00EC0C92" w:rsidRPr="00EC0C92" w:rsidRDefault="00EC0C92" w:rsidP="002B2E7F">
            <w:pPr>
              <w:spacing w:before="100"/>
              <w:rPr>
                <w:rFonts w:eastAsia="Times New Roman"/>
                <w:sz w:val="22"/>
                <w:szCs w:val="22"/>
              </w:rPr>
            </w:pPr>
            <w:r w:rsidRPr="00EC0C92">
              <w:rPr>
                <w:rFonts w:eastAsia="Times New Roman"/>
                <w:sz w:val="22"/>
                <w:szCs w:val="22"/>
              </w:rPr>
              <w:t>90</w:t>
            </w:r>
          </w:p>
        </w:tc>
        <w:tc>
          <w:tcPr>
            <w:tcW w:w="657" w:type="pct"/>
          </w:tcPr>
          <w:p w14:paraId="3F20762C" w14:textId="77777777" w:rsidR="00EC0C92" w:rsidRPr="00EC0C92" w:rsidRDefault="00EC0C92" w:rsidP="002B2E7F">
            <w:pPr>
              <w:spacing w:before="100"/>
              <w:rPr>
                <w:rFonts w:eastAsia="Times New Roman"/>
                <w:sz w:val="22"/>
                <w:szCs w:val="22"/>
              </w:rPr>
            </w:pPr>
            <w:r w:rsidRPr="00EC0C92">
              <w:rPr>
                <w:rFonts w:eastAsia="Times New Roman"/>
                <w:sz w:val="22"/>
                <w:szCs w:val="22"/>
              </w:rPr>
              <w:t>Core</w:t>
            </w:r>
          </w:p>
        </w:tc>
        <w:tc>
          <w:tcPr>
            <w:tcW w:w="1068" w:type="pct"/>
          </w:tcPr>
          <w:p w14:paraId="5B625EBC" w14:textId="77777777" w:rsidR="00EC0C92" w:rsidRPr="00EC0C92" w:rsidRDefault="00EC0C92" w:rsidP="002B2E7F">
            <w:pPr>
              <w:spacing w:before="100"/>
              <w:rPr>
                <w:rFonts w:eastAsia="Times New Roman"/>
                <w:sz w:val="22"/>
                <w:szCs w:val="22"/>
              </w:rPr>
            </w:pPr>
            <w:r w:rsidRPr="00EC0C92">
              <w:rPr>
                <w:rFonts w:eastAsia="Times New Roman"/>
                <w:sz w:val="22"/>
                <w:szCs w:val="22"/>
              </w:rPr>
              <w:t>No</w:t>
            </w:r>
          </w:p>
        </w:tc>
        <w:tc>
          <w:tcPr>
            <w:tcW w:w="485" w:type="pct"/>
          </w:tcPr>
          <w:p w14:paraId="67D92996" w14:textId="77777777" w:rsidR="00EC0C92" w:rsidRPr="00EC0C92" w:rsidRDefault="00EC0C92" w:rsidP="002B2E7F">
            <w:pPr>
              <w:spacing w:before="100"/>
              <w:rPr>
                <w:rFonts w:eastAsia="Times New Roman"/>
                <w:sz w:val="22"/>
                <w:szCs w:val="22"/>
              </w:rPr>
            </w:pPr>
            <w:r w:rsidRPr="00EC0C92">
              <w:rPr>
                <w:rFonts w:eastAsia="Times New Roman"/>
                <w:sz w:val="22"/>
                <w:szCs w:val="22"/>
              </w:rPr>
              <w:t>4</w:t>
            </w:r>
          </w:p>
        </w:tc>
      </w:tr>
      <w:tr w:rsidR="00EC0C92" w:rsidRPr="00EC0C92" w14:paraId="53B1894F" w14:textId="77777777" w:rsidTr="002B2E7F">
        <w:tc>
          <w:tcPr>
            <w:tcW w:w="1476" w:type="pct"/>
          </w:tcPr>
          <w:p w14:paraId="2CB0FB13" w14:textId="77777777" w:rsidR="00EC0C92" w:rsidRPr="00EC0C92" w:rsidRDefault="00EC0C92" w:rsidP="002B2E7F">
            <w:pPr>
              <w:spacing w:before="100"/>
              <w:rPr>
                <w:rFonts w:eastAsia="Times New Roman"/>
                <w:sz w:val="22"/>
                <w:szCs w:val="22"/>
              </w:rPr>
            </w:pPr>
            <w:r w:rsidRPr="00EC0C92">
              <w:rPr>
                <w:rFonts w:eastAsia="Times New Roman"/>
                <w:sz w:val="22"/>
                <w:szCs w:val="22"/>
              </w:rPr>
              <w:t>Preparing to Audition</w:t>
            </w:r>
          </w:p>
        </w:tc>
        <w:tc>
          <w:tcPr>
            <w:tcW w:w="738" w:type="pct"/>
          </w:tcPr>
          <w:p w14:paraId="1C9CC964" w14:textId="3F6F908C" w:rsidR="00EC0C92" w:rsidRPr="00EC0C92" w:rsidRDefault="003B44F5" w:rsidP="002B2E7F">
            <w:pPr>
              <w:spacing w:before="100"/>
              <w:rPr>
                <w:rFonts w:eastAsia="Times New Roman"/>
                <w:sz w:val="22"/>
                <w:szCs w:val="22"/>
              </w:rPr>
            </w:pPr>
            <w:r w:rsidRPr="003B44F5">
              <w:rPr>
                <w:rFonts w:eastAsia="Times New Roman"/>
                <w:sz w:val="22"/>
                <w:szCs w:val="22"/>
              </w:rPr>
              <w:t>M40106</w:t>
            </w:r>
          </w:p>
        </w:tc>
        <w:tc>
          <w:tcPr>
            <w:tcW w:w="575" w:type="pct"/>
          </w:tcPr>
          <w:p w14:paraId="45E6D1BA" w14:textId="77777777" w:rsidR="00EC0C92" w:rsidRPr="00EC0C92" w:rsidRDefault="00EC0C92" w:rsidP="002B2E7F">
            <w:pPr>
              <w:spacing w:before="100"/>
              <w:rPr>
                <w:rFonts w:eastAsia="Times New Roman"/>
                <w:sz w:val="22"/>
                <w:szCs w:val="22"/>
              </w:rPr>
            </w:pPr>
            <w:r w:rsidRPr="00EC0C92">
              <w:rPr>
                <w:rFonts w:eastAsia="Times New Roman"/>
                <w:sz w:val="22"/>
                <w:szCs w:val="22"/>
              </w:rPr>
              <w:t>10</w:t>
            </w:r>
          </w:p>
        </w:tc>
        <w:tc>
          <w:tcPr>
            <w:tcW w:w="657" w:type="pct"/>
          </w:tcPr>
          <w:p w14:paraId="4308A297" w14:textId="77777777" w:rsidR="00EC0C92" w:rsidRPr="00EC0C92" w:rsidRDefault="00EC0C92" w:rsidP="002B2E7F">
            <w:pPr>
              <w:spacing w:before="100"/>
              <w:rPr>
                <w:rFonts w:eastAsia="Times New Roman"/>
                <w:sz w:val="22"/>
                <w:szCs w:val="22"/>
              </w:rPr>
            </w:pPr>
            <w:r w:rsidRPr="00EC0C92">
              <w:rPr>
                <w:rFonts w:eastAsia="Times New Roman"/>
                <w:sz w:val="22"/>
                <w:szCs w:val="22"/>
              </w:rPr>
              <w:t>Core</w:t>
            </w:r>
          </w:p>
        </w:tc>
        <w:tc>
          <w:tcPr>
            <w:tcW w:w="1068" w:type="pct"/>
          </w:tcPr>
          <w:p w14:paraId="3D52426A" w14:textId="77777777" w:rsidR="00EC0C92" w:rsidRPr="00EC0C92" w:rsidRDefault="00EC0C92" w:rsidP="002B2E7F">
            <w:pPr>
              <w:spacing w:before="100"/>
              <w:rPr>
                <w:rFonts w:eastAsia="Times New Roman"/>
                <w:sz w:val="22"/>
                <w:szCs w:val="22"/>
              </w:rPr>
            </w:pPr>
            <w:r w:rsidRPr="00EC0C92">
              <w:rPr>
                <w:rFonts w:eastAsia="Times New Roman"/>
                <w:sz w:val="22"/>
                <w:szCs w:val="22"/>
              </w:rPr>
              <w:t>No</w:t>
            </w:r>
          </w:p>
        </w:tc>
        <w:tc>
          <w:tcPr>
            <w:tcW w:w="485" w:type="pct"/>
          </w:tcPr>
          <w:p w14:paraId="17CAA1E5" w14:textId="77777777" w:rsidR="00EC0C92" w:rsidRPr="00EC0C92" w:rsidRDefault="00EC0C92" w:rsidP="002B2E7F">
            <w:pPr>
              <w:spacing w:before="100"/>
              <w:rPr>
                <w:rFonts w:eastAsia="Times New Roman"/>
                <w:sz w:val="22"/>
                <w:szCs w:val="22"/>
              </w:rPr>
            </w:pPr>
            <w:r w:rsidRPr="00EC0C92">
              <w:rPr>
                <w:rFonts w:eastAsia="Times New Roman"/>
                <w:sz w:val="22"/>
                <w:szCs w:val="22"/>
              </w:rPr>
              <w:t>4</w:t>
            </w:r>
          </w:p>
        </w:tc>
      </w:tr>
      <w:tr w:rsidR="00EC0C92" w:rsidRPr="00EC0C92" w14:paraId="1F427B98" w14:textId="77777777" w:rsidTr="002B2E7F">
        <w:tc>
          <w:tcPr>
            <w:tcW w:w="1476" w:type="pct"/>
          </w:tcPr>
          <w:p w14:paraId="5CED819A" w14:textId="77777777" w:rsidR="00EC0C92" w:rsidRPr="00EC0C92" w:rsidRDefault="00EC0C92" w:rsidP="002B2E7F">
            <w:pPr>
              <w:spacing w:before="100"/>
              <w:rPr>
                <w:rFonts w:eastAsia="Times New Roman"/>
                <w:sz w:val="22"/>
                <w:szCs w:val="22"/>
              </w:rPr>
            </w:pPr>
            <w:r w:rsidRPr="00EC0C92">
              <w:rPr>
                <w:rFonts w:eastAsia="Times New Roman"/>
                <w:sz w:val="22"/>
                <w:szCs w:val="22"/>
              </w:rPr>
              <w:t>Preparing to Perform</w:t>
            </w:r>
          </w:p>
        </w:tc>
        <w:tc>
          <w:tcPr>
            <w:tcW w:w="738" w:type="pct"/>
          </w:tcPr>
          <w:p w14:paraId="1E91CBFC" w14:textId="4137CD58" w:rsidR="00EC0C92" w:rsidRPr="00EC0C92" w:rsidRDefault="003B44F5" w:rsidP="002B2E7F">
            <w:pPr>
              <w:spacing w:before="100"/>
              <w:rPr>
                <w:rFonts w:eastAsia="Times New Roman"/>
                <w:sz w:val="22"/>
                <w:szCs w:val="22"/>
              </w:rPr>
            </w:pPr>
            <w:r w:rsidRPr="003B44F5">
              <w:rPr>
                <w:rFonts w:eastAsia="Times New Roman"/>
                <w:sz w:val="22"/>
                <w:szCs w:val="22"/>
              </w:rPr>
              <w:t>M40107</w:t>
            </w:r>
          </w:p>
        </w:tc>
        <w:tc>
          <w:tcPr>
            <w:tcW w:w="575" w:type="pct"/>
          </w:tcPr>
          <w:p w14:paraId="5A4B509F" w14:textId="77777777" w:rsidR="00EC0C92" w:rsidRPr="00EC0C92" w:rsidRDefault="00EC0C92" w:rsidP="002B2E7F">
            <w:pPr>
              <w:spacing w:before="100"/>
              <w:rPr>
                <w:rFonts w:eastAsia="Times New Roman"/>
                <w:sz w:val="22"/>
                <w:szCs w:val="22"/>
              </w:rPr>
            </w:pPr>
            <w:r w:rsidRPr="00EC0C92">
              <w:rPr>
                <w:rFonts w:eastAsia="Times New Roman"/>
                <w:sz w:val="22"/>
                <w:szCs w:val="22"/>
              </w:rPr>
              <w:t>20</w:t>
            </w:r>
          </w:p>
        </w:tc>
        <w:tc>
          <w:tcPr>
            <w:tcW w:w="657" w:type="pct"/>
          </w:tcPr>
          <w:p w14:paraId="1660C7F2" w14:textId="77777777" w:rsidR="00EC0C92" w:rsidRPr="00EC0C92" w:rsidRDefault="00EC0C92" w:rsidP="002B2E7F">
            <w:pPr>
              <w:spacing w:before="100"/>
              <w:rPr>
                <w:rFonts w:eastAsia="Times New Roman"/>
                <w:sz w:val="22"/>
                <w:szCs w:val="22"/>
              </w:rPr>
            </w:pPr>
            <w:r w:rsidRPr="00EC0C92">
              <w:rPr>
                <w:rFonts w:eastAsia="Times New Roman"/>
                <w:sz w:val="22"/>
                <w:szCs w:val="22"/>
              </w:rPr>
              <w:t>Core</w:t>
            </w:r>
          </w:p>
        </w:tc>
        <w:tc>
          <w:tcPr>
            <w:tcW w:w="1068" w:type="pct"/>
          </w:tcPr>
          <w:p w14:paraId="19E33CC6" w14:textId="77777777" w:rsidR="00EC0C92" w:rsidRPr="00EC0C92" w:rsidRDefault="00EC0C92" w:rsidP="002B2E7F">
            <w:pPr>
              <w:spacing w:before="100"/>
              <w:rPr>
                <w:rFonts w:eastAsia="Times New Roman"/>
                <w:sz w:val="22"/>
                <w:szCs w:val="22"/>
              </w:rPr>
            </w:pPr>
            <w:r w:rsidRPr="00EC0C92">
              <w:rPr>
                <w:rFonts w:eastAsia="Times New Roman"/>
                <w:sz w:val="22"/>
                <w:szCs w:val="22"/>
              </w:rPr>
              <w:t>No</w:t>
            </w:r>
          </w:p>
        </w:tc>
        <w:tc>
          <w:tcPr>
            <w:tcW w:w="485" w:type="pct"/>
          </w:tcPr>
          <w:p w14:paraId="3D9F31B3" w14:textId="77777777" w:rsidR="00EC0C92" w:rsidRPr="00EC0C92" w:rsidRDefault="00EC0C92" w:rsidP="002B2E7F">
            <w:pPr>
              <w:spacing w:before="100"/>
              <w:rPr>
                <w:rFonts w:eastAsia="Times New Roman"/>
                <w:sz w:val="22"/>
                <w:szCs w:val="22"/>
              </w:rPr>
            </w:pPr>
            <w:r w:rsidRPr="00EC0C92">
              <w:rPr>
                <w:rFonts w:eastAsia="Times New Roman"/>
                <w:sz w:val="22"/>
                <w:szCs w:val="22"/>
              </w:rPr>
              <w:t>4</w:t>
            </w:r>
          </w:p>
        </w:tc>
      </w:tr>
    </w:tbl>
    <w:p w14:paraId="548C2858" w14:textId="77777777" w:rsidR="00EC0C92" w:rsidRPr="00EC0C92" w:rsidRDefault="00EC0C92" w:rsidP="00EC0C92">
      <w:pPr>
        <w:spacing w:before="100" w:after="120"/>
        <w:rPr>
          <w:rFonts w:eastAsia="Times New Roman"/>
          <w:sz w:val="22"/>
          <w:szCs w:val="22"/>
        </w:rPr>
      </w:pPr>
    </w:p>
    <w:p w14:paraId="1FF4A5AB"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caps/>
          <w:spacing w:val="15"/>
          <w:sz w:val="22"/>
          <w:szCs w:val="22"/>
        </w:rPr>
      </w:pPr>
      <w:bookmarkStart w:id="16" w:name="_Toc17205951"/>
      <w:bookmarkStart w:id="17" w:name="_Toc17206216"/>
      <w:bookmarkStart w:id="18" w:name="_Toc101427808"/>
      <w:bookmarkStart w:id="19" w:name="_Toc106104955"/>
      <w:bookmarkStart w:id="20" w:name="_Toc106105033"/>
      <w:bookmarkEnd w:id="16"/>
      <w:bookmarkEnd w:id="17"/>
      <w:bookmarkEnd w:id="18"/>
      <w:bookmarkEnd w:id="19"/>
      <w:bookmarkEnd w:id="20"/>
      <w:r w:rsidRPr="00EC0C92">
        <w:rPr>
          <w:rFonts w:eastAsia="Times New Roman"/>
          <w:b/>
          <w:caps/>
          <w:spacing w:val="15"/>
          <w:sz w:val="22"/>
          <w:szCs w:val="22"/>
        </w:rPr>
        <w:t>Learning and Teaching</w:t>
      </w:r>
    </w:p>
    <w:p w14:paraId="0784419A" w14:textId="77777777" w:rsidR="00EC0C92" w:rsidRPr="00EC0C92" w:rsidRDefault="00EC0C92" w:rsidP="00EC0C92">
      <w:pPr>
        <w:spacing w:before="120"/>
        <w:rPr>
          <w:rFonts w:eastAsia="Times New Roman"/>
          <w:b/>
          <w:sz w:val="22"/>
          <w:szCs w:val="22"/>
        </w:rPr>
      </w:pPr>
      <w:r w:rsidRPr="00EC0C92">
        <w:rPr>
          <w:rFonts w:eastAsia="Times New Roman"/>
          <w:b/>
          <w:sz w:val="22"/>
          <w:szCs w:val="22"/>
        </w:rPr>
        <w:t>Total contact hours 561 hours</w:t>
      </w:r>
    </w:p>
    <w:p w14:paraId="77D5786C" w14:textId="77777777" w:rsidR="00EC0C92" w:rsidRPr="00EC0C92" w:rsidRDefault="00EC0C92" w:rsidP="00EC0C92">
      <w:pPr>
        <w:spacing w:before="120"/>
        <w:rPr>
          <w:rFonts w:eastAsia="Times New Roman"/>
          <w:b/>
          <w:sz w:val="22"/>
          <w:szCs w:val="22"/>
        </w:rPr>
      </w:pPr>
      <w:r w:rsidRPr="00EC0C92">
        <w:rPr>
          <w:rFonts w:eastAsia="Times New Roman"/>
          <w:b/>
          <w:sz w:val="22"/>
          <w:szCs w:val="22"/>
        </w:rPr>
        <w:t>Total self-directed study hours 639 hours</w:t>
      </w:r>
    </w:p>
    <w:p w14:paraId="5379D260" w14:textId="77777777" w:rsidR="00EC0C92" w:rsidRPr="00EC0C92" w:rsidRDefault="00EC0C92" w:rsidP="00EC0C92">
      <w:pPr>
        <w:spacing w:before="120"/>
        <w:rPr>
          <w:rFonts w:eastAsia="Times New Roman"/>
          <w:b/>
          <w:sz w:val="22"/>
          <w:szCs w:val="22"/>
        </w:rPr>
      </w:pPr>
      <w:r w:rsidRPr="00EC0C92">
        <w:rPr>
          <w:rFonts w:eastAsia="Times New Roman"/>
          <w:b/>
          <w:sz w:val="22"/>
          <w:szCs w:val="22"/>
        </w:rPr>
        <w:t>Total learning and teaching hours 1200 hours</w:t>
      </w:r>
    </w:p>
    <w:p w14:paraId="0388928F" w14:textId="77777777" w:rsidR="00EC0C92" w:rsidRPr="00EC0C92" w:rsidRDefault="00EC0C92" w:rsidP="00EC0C92">
      <w:pPr>
        <w:spacing w:before="120"/>
        <w:rPr>
          <w:rFonts w:eastAsia="Times New Roman"/>
          <w:b/>
          <w:sz w:val="22"/>
          <w:szCs w:val="22"/>
          <w:highlight w:val="yellow"/>
        </w:rPr>
      </w:pPr>
    </w:p>
    <w:tbl>
      <w:tblPr>
        <w:tblW w:w="828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2247"/>
        <w:gridCol w:w="1396"/>
        <w:gridCol w:w="1291"/>
        <w:gridCol w:w="1561"/>
      </w:tblGrid>
      <w:tr w:rsidR="00EC0C92" w:rsidRPr="00EC0C92" w14:paraId="397E7886" w14:textId="77777777" w:rsidTr="002B2E7F">
        <w:trPr>
          <w:trHeight w:val="591"/>
        </w:trPr>
        <w:tc>
          <w:tcPr>
            <w:tcW w:w="1841" w:type="dxa"/>
          </w:tcPr>
          <w:p w14:paraId="296B17B8"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Module</w:t>
            </w:r>
          </w:p>
        </w:tc>
        <w:tc>
          <w:tcPr>
            <w:tcW w:w="2062" w:type="dxa"/>
            <w:vAlign w:val="center"/>
          </w:tcPr>
          <w:p w14:paraId="0C79C849"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Teaching Component</w:t>
            </w:r>
          </w:p>
        </w:tc>
        <w:tc>
          <w:tcPr>
            <w:tcW w:w="1443" w:type="dxa"/>
            <w:vAlign w:val="center"/>
          </w:tcPr>
          <w:p w14:paraId="37055536"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Contact Hours</w:t>
            </w:r>
          </w:p>
        </w:tc>
        <w:tc>
          <w:tcPr>
            <w:tcW w:w="1319" w:type="dxa"/>
            <w:vAlign w:val="center"/>
          </w:tcPr>
          <w:p w14:paraId="62A2D766"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Self-directed Study Hours</w:t>
            </w:r>
          </w:p>
        </w:tc>
        <w:tc>
          <w:tcPr>
            <w:tcW w:w="1615" w:type="dxa"/>
            <w:vAlign w:val="center"/>
          </w:tcPr>
          <w:p w14:paraId="1C2E5BA5" w14:textId="77777777" w:rsidR="00EC0C92" w:rsidRPr="00EC0C92" w:rsidRDefault="00EC0C92" w:rsidP="002B2E7F">
            <w:pPr>
              <w:spacing w:before="100"/>
              <w:rPr>
                <w:rFonts w:eastAsia="Times New Roman"/>
                <w:b/>
                <w:sz w:val="22"/>
                <w:szCs w:val="22"/>
              </w:rPr>
            </w:pPr>
            <w:r w:rsidRPr="00EC0C92">
              <w:rPr>
                <w:rFonts w:eastAsia="Times New Roman"/>
                <w:b/>
                <w:sz w:val="22"/>
                <w:szCs w:val="22"/>
              </w:rPr>
              <w:t>Total Student Learning Hours</w:t>
            </w:r>
          </w:p>
        </w:tc>
      </w:tr>
      <w:tr w:rsidR="00EC0C92" w:rsidRPr="00EC0C92" w14:paraId="75A416A9" w14:textId="77777777" w:rsidTr="002B2E7F">
        <w:trPr>
          <w:trHeight w:val="310"/>
        </w:trPr>
        <w:tc>
          <w:tcPr>
            <w:tcW w:w="1841" w:type="dxa"/>
            <w:vMerge w:val="restart"/>
          </w:tcPr>
          <w:p w14:paraId="43E26D45"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 xml:space="preserve">Skills &amp; Techniques </w:t>
            </w:r>
          </w:p>
        </w:tc>
        <w:tc>
          <w:tcPr>
            <w:tcW w:w="2062" w:type="dxa"/>
          </w:tcPr>
          <w:p w14:paraId="6086B992"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Individual Singing Lessons (one to one teacher)</w:t>
            </w:r>
          </w:p>
        </w:tc>
        <w:tc>
          <w:tcPr>
            <w:tcW w:w="1443" w:type="dxa"/>
          </w:tcPr>
          <w:p w14:paraId="2B89F726"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15 hours (per student)</w:t>
            </w:r>
          </w:p>
        </w:tc>
        <w:tc>
          <w:tcPr>
            <w:tcW w:w="1319" w:type="dxa"/>
          </w:tcPr>
          <w:p w14:paraId="66DB2FDD" w14:textId="77777777" w:rsidR="00EC0C92" w:rsidRPr="00EC0C92" w:rsidRDefault="00EC0C92" w:rsidP="002B2E7F">
            <w:pPr>
              <w:spacing w:before="40" w:after="40"/>
              <w:rPr>
                <w:rFonts w:eastAsia="Times New Roman"/>
                <w:color w:val="000000"/>
                <w:sz w:val="22"/>
                <w:szCs w:val="22"/>
                <w:lang w:val="en-US"/>
              </w:rPr>
            </w:pPr>
          </w:p>
        </w:tc>
        <w:tc>
          <w:tcPr>
            <w:tcW w:w="1615" w:type="dxa"/>
          </w:tcPr>
          <w:p w14:paraId="01C820EF"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15</w:t>
            </w:r>
          </w:p>
        </w:tc>
      </w:tr>
      <w:tr w:rsidR="00EC0C92" w:rsidRPr="00EC0C92" w14:paraId="371CA54E" w14:textId="77777777" w:rsidTr="002B2E7F">
        <w:trPr>
          <w:trHeight w:val="310"/>
        </w:trPr>
        <w:tc>
          <w:tcPr>
            <w:tcW w:w="1841" w:type="dxa"/>
            <w:vMerge/>
          </w:tcPr>
          <w:p w14:paraId="3306472F" w14:textId="77777777" w:rsidR="00EC0C92" w:rsidRPr="00EC0C92" w:rsidRDefault="00EC0C92" w:rsidP="002B2E7F">
            <w:pPr>
              <w:spacing w:before="40" w:after="40"/>
              <w:rPr>
                <w:rFonts w:eastAsia="Times New Roman"/>
                <w:color w:val="000000"/>
                <w:sz w:val="22"/>
                <w:szCs w:val="22"/>
                <w:lang w:val="en-US"/>
              </w:rPr>
            </w:pPr>
          </w:p>
        </w:tc>
        <w:tc>
          <w:tcPr>
            <w:tcW w:w="2062" w:type="dxa"/>
          </w:tcPr>
          <w:p w14:paraId="12E5B550"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Skills classes</w:t>
            </w:r>
          </w:p>
        </w:tc>
        <w:tc>
          <w:tcPr>
            <w:tcW w:w="1443" w:type="dxa"/>
          </w:tcPr>
          <w:p w14:paraId="11696C5F"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 xml:space="preserve">421 </w:t>
            </w:r>
          </w:p>
        </w:tc>
        <w:tc>
          <w:tcPr>
            <w:tcW w:w="1319" w:type="dxa"/>
          </w:tcPr>
          <w:p w14:paraId="146F35BB"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464</w:t>
            </w:r>
          </w:p>
        </w:tc>
        <w:tc>
          <w:tcPr>
            <w:tcW w:w="1615" w:type="dxa"/>
          </w:tcPr>
          <w:p w14:paraId="096D09C6"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885</w:t>
            </w:r>
          </w:p>
        </w:tc>
      </w:tr>
      <w:tr w:rsidR="00EC0C92" w:rsidRPr="00EC0C92" w14:paraId="62349867" w14:textId="77777777" w:rsidTr="002B2E7F">
        <w:trPr>
          <w:trHeight w:val="310"/>
        </w:trPr>
        <w:tc>
          <w:tcPr>
            <w:tcW w:w="1841" w:type="dxa"/>
            <w:vMerge w:val="restart"/>
          </w:tcPr>
          <w:p w14:paraId="60FE79E6"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 xml:space="preserve">Preparing to Audition </w:t>
            </w:r>
          </w:p>
        </w:tc>
        <w:tc>
          <w:tcPr>
            <w:tcW w:w="2062" w:type="dxa"/>
          </w:tcPr>
          <w:p w14:paraId="1D976138"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Tutorials</w:t>
            </w:r>
          </w:p>
        </w:tc>
        <w:tc>
          <w:tcPr>
            <w:tcW w:w="1443" w:type="dxa"/>
          </w:tcPr>
          <w:p w14:paraId="53797410"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20</w:t>
            </w:r>
          </w:p>
        </w:tc>
        <w:tc>
          <w:tcPr>
            <w:tcW w:w="1319" w:type="dxa"/>
          </w:tcPr>
          <w:p w14:paraId="75667807" w14:textId="77777777" w:rsidR="00EC0C92" w:rsidRPr="00EC0C92" w:rsidRDefault="00EC0C92" w:rsidP="002B2E7F">
            <w:pPr>
              <w:spacing w:before="40" w:after="40"/>
              <w:rPr>
                <w:rFonts w:eastAsia="Times New Roman"/>
                <w:color w:val="000000"/>
                <w:sz w:val="22"/>
                <w:szCs w:val="22"/>
                <w:lang w:val="en-US"/>
              </w:rPr>
            </w:pPr>
          </w:p>
        </w:tc>
        <w:tc>
          <w:tcPr>
            <w:tcW w:w="1615" w:type="dxa"/>
          </w:tcPr>
          <w:p w14:paraId="7717AC29"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20</w:t>
            </w:r>
          </w:p>
        </w:tc>
      </w:tr>
      <w:tr w:rsidR="00EC0C92" w:rsidRPr="00EC0C92" w14:paraId="2A49BCFA" w14:textId="77777777" w:rsidTr="002B2E7F">
        <w:trPr>
          <w:trHeight w:val="310"/>
        </w:trPr>
        <w:tc>
          <w:tcPr>
            <w:tcW w:w="1841" w:type="dxa"/>
            <w:vMerge/>
          </w:tcPr>
          <w:p w14:paraId="16C79CD5" w14:textId="77777777" w:rsidR="00EC0C92" w:rsidRPr="00EC0C92" w:rsidRDefault="00EC0C92" w:rsidP="002B2E7F">
            <w:pPr>
              <w:spacing w:before="40" w:after="40"/>
              <w:rPr>
                <w:rFonts w:eastAsia="Times New Roman"/>
                <w:color w:val="000000"/>
                <w:sz w:val="22"/>
                <w:szCs w:val="22"/>
                <w:lang w:val="en-US"/>
              </w:rPr>
            </w:pPr>
          </w:p>
        </w:tc>
        <w:tc>
          <w:tcPr>
            <w:tcW w:w="2062" w:type="dxa"/>
          </w:tcPr>
          <w:p w14:paraId="02D8630F"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Vocal Repertoire</w:t>
            </w:r>
          </w:p>
        </w:tc>
        <w:tc>
          <w:tcPr>
            <w:tcW w:w="1443" w:type="dxa"/>
          </w:tcPr>
          <w:p w14:paraId="425CFB75"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30</w:t>
            </w:r>
          </w:p>
        </w:tc>
        <w:tc>
          <w:tcPr>
            <w:tcW w:w="1319" w:type="dxa"/>
          </w:tcPr>
          <w:p w14:paraId="04279C83" w14:textId="77777777" w:rsidR="00EC0C92" w:rsidRPr="00EC0C92" w:rsidRDefault="00EC0C92" w:rsidP="002B2E7F">
            <w:pPr>
              <w:spacing w:before="40" w:after="40"/>
              <w:rPr>
                <w:rFonts w:eastAsia="Times New Roman"/>
                <w:color w:val="000000"/>
                <w:sz w:val="22"/>
                <w:szCs w:val="22"/>
                <w:lang w:val="en-US"/>
              </w:rPr>
            </w:pPr>
          </w:p>
        </w:tc>
        <w:tc>
          <w:tcPr>
            <w:tcW w:w="1615" w:type="dxa"/>
          </w:tcPr>
          <w:p w14:paraId="7EAC125F"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30</w:t>
            </w:r>
          </w:p>
        </w:tc>
      </w:tr>
      <w:tr w:rsidR="00EC0C92" w:rsidRPr="00EC0C92" w14:paraId="17718EB0" w14:textId="77777777" w:rsidTr="002B2E7F">
        <w:trPr>
          <w:trHeight w:val="310"/>
        </w:trPr>
        <w:tc>
          <w:tcPr>
            <w:tcW w:w="1841" w:type="dxa"/>
            <w:vMerge/>
          </w:tcPr>
          <w:p w14:paraId="69E37D0A" w14:textId="77777777" w:rsidR="00EC0C92" w:rsidRPr="00EC0C92" w:rsidRDefault="00EC0C92" w:rsidP="002B2E7F">
            <w:pPr>
              <w:spacing w:before="40" w:after="40"/>
              <w:rPr>
                <w:rFonts w:eastAsia="Times New Roman"/>
                <w:color w:val="000000"/>
                <w:sz w:val="22"/>
                <w:szCs w:val="22"/>
                <w:lang w:val="en-US"/>
              </w:rPr>
            </w:pPr>
          </w:p>
        </w:tc>
        <w:tc>
          <w:tcPr>
            <w:tcW w:w="2062" w:type="dxa"/>
          </w:tcPr>
          <w:p w14:paraId="5740C7A4"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Personal research/preparation</w:t>
            </w:r>
          </w:p>
        </w:tc>
        <w:tc>
          <w:tcPr>
            <w:tcW w:w="1443" w:type="dxa"/>
          </w:tcPr>
          <w:p w14:paraId="6B37C4B4" w14:textId="77777777" w:rsidR="00EC0C92" w:rsidRPr="00EC0C92" w:rsidRDefault="00EC0C92" w:rsidP="002B2E7F">
            <w:pPr>
              <w:spacing w:before="40" w:after="40"/>
              <w:rPr>
                <w:rFonts w:eastAsia="Times New Roman"/>
                <w:color w:val="000000"/>
                <w:sz w:val="22"/>
                <w:szCs w:val="22"/>
                <w:lang w:val="en-US"/>
              </w:rPr>
            </w:pPr>
          </w:p>
        </w:tc>
        <w:tc>
          <w:tcPr>
            <w:tcW w:w="1319" w:type="dxa"/>
          </w:tcPr>
          <w:p w14:paraId="55821D55"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50</w:t>
            </w:r>
          </w:p>
        </w:tc>
        <w:tc>
          <w:tcPr>
            <w:tcW w:w="1615" w:type="dxa"/>
          </w:tcPr>
          <w:p w14:paraId="7BAC2E1A"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50</w:t>
            </w:r>
          </w:p>
        </w:tc>
      </w:tr>
      <w:tr w:rsidR="00EC0C92" w:rsidRPr="00EC0C92" w14:paraId="4245D0D8" w14:textId="77777777" w:rsidTr="002B2E7F">
        <w:trPr>
          <w:trHeight w:val="310"/>
        </w:trPr>
        <w:tc>
          <w:tcPr>
            <w:tcW w:w="1841" w:type="dxa"/>
            <w:vMerge w:val="restart"/>
          </w:tcPr>
          <w:p w14:paraId="7A7BB77F"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color w:val="000000"/>
                <w:sz w:val="22"/>
                <w:szCs w:val="22"/>
                <w:lang w:val="en-US"/>
              </w:rPr>
              <w:t>Preparing to Perform</w:t>
            </w:r>
          </w:p>
        </w:tc>
        <w:tc>
          <w:tcPr>
            <w:tcW w:w="2062" w:type="dxa"/>
          </w:tcPr>
          <w:p w14:paraId="773B80DD"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Project rehearsal/production</w:t>
            </w:r>
          </w:p>
        </w:tc>
        <w:tc>
          <w:tcPr>
            <w:tcW w:w="1443" w:type="dxa"/>
          </w:tcPr>
          <w:p w14:paraId="40CB96B2"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 xml:space="preserve">75 </w:t>
            </w:r>
          </w:p>
        </w:tc>
        <w:tc>
          <w:tcPr>
            <w:tcW w:w="1319" w:type="dxa"/>
          </w:tcPr>
          <w:p w14:paraId="5D61009B" w14:textId="77777777" w:rsidR="00EC0C92" w:rsidRPr="00EC0C92" w:rsidRDefault="00EC0C92" w:rsidP="002B2E7F">
            <w:pPr>
              <w:spacing w:before="40" w:after="40"/>
              <w:rPr>
                <w:rFonts w:eastAsia="Times New Roman"/>
                <w:color w:val="000000"/>
                <w:sz w:val="22"/>
                <w:szCs w:val="22"/>
                <w:lang w:val="en-US"/>
              </w:rPr>
            </w:pPr>
          </w:p>
        </w:tc>
        <w:tc>
          <w:tcPr>
            <w:tcW w:w="1615" w:type="dxa"/>
          </w:tcPr>
          <w:p w14:paraId="6D612142"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75</w:t>
            </w:r>
          </w:p>
        </w:tc>
      </w:tr>
      <w:tr w:rsidR="00EC0C92" w:rsidRPr="00EC0C92" w14:paraId="778270DC" w14:textId="77777777" w:rsidTr="002B2E7F">
        <w:trPr>
          <w:trHeight w:val="310"/>
        </w:trPr>
        <w:tc>
          <w:tcPr>
            <w:tcW w:w="1841" w:type="dxa"/>
            <w:vMerge/>
          </w:tcPr>
          <w:p w14:paraId="0B69CFA7" w14:textId="77777777" w:rsidR="00EC0C92" w:rsidRPr="00EC0C92" w:rsidRDefault="00EC0C92" w:rsidP="002B2E7F">
            <w:pPr>
              <w:spacing w:before="40" w:after="40"/>
              <w:rPr>
                <w:rFonts w:eastAsia="Times New Roman"/>
                <w:color w:val="000000"/>
                <w:sz w:val="22"/>
                <w:szCs w:val="22"/>
                <w:lang w:val="en-US"/>
              </w:rPr>
            </w:pPr>
          </w:p>
        </w:tc>
        <w:tc>
          <w:tcPr>
            <w:tcW w:w="2062" w:type="dxa"/>
          </w:tcPr>
          <w:p w14:paraId="755003B2"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Independent study and preparation</w:t>
            </w:r>
          </w:p>
        </w:tc>
        <w:tc>
          <w:tcPr>
            <w:tcW w:w="1443" w:type="dxa"/>
          </w:tcPr>
          <w:p w14:paraId="19AAAF30" w14:textId="77777777" w:rsidR="00EC0C92" w:rsidRPr="00EC0C92" w:rsidRDefault="00EC0C92" w:rsidP="002B2E7F">
            <w:pPr>
              <w:spacing w:before="40" w:after="40"/>
              <w:rPr>
                <w:rFonts w:eastAsia="Times New Roman"/>
                <w:color w:val="000000"/>
                <w:sz w:val="22"/>
                <w:szCs w:val="22"/>
                <w:lang w:val="en-US"/>
              </w:rPr>
            </w:pPr>
          </w:p>
        </w:tc>
        <w:tc>
          <w:tcPr>
            <w:tcW w:w="1319" w:type="dxa"/>
          </w:tcPr>
          <w:p w14:paraId="440F9117"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 xml:space="preserve">125 </w:t>
            </w:r>
          </w:p>
        </w:tc>
        <w:tc>
          <w:tcPr>
            <w:tcW w:w="1615" w:type="dxa"/>
          </w:tcPr>
          <w:p w14:paraId="243DF23A" w14:textId="77777777" w:rsidR="00EC0C92" w:rsidRPr="00EC0C92" w:rsidRDefault="00EC0C92" w:rsidP="002B2E7F">
            <w:pPr>
              <w:spacing w:before="40" w:after="40"/>
              <w:rPr>
                <w:rFonts w:eastAsia="Times New Roman"/>
                <w:color w:val="000000"/>
                <w:sz w:val="22"/>
                <w:szCs w:val="22"/>
                <w:lang w:val="en-US"/>
              </w:rPr>
            </w:pPr>
            <w:r w:rsidRPr="00EC0C92">
              <w:rPr>
                <w:rFonts w:eastAsia="Times New Roman"/>
                <w:sz w:val="22"/>
                <w:szCs w:val="22"/>
                <w:lang w:val="en-US"/>
              </w:rPr>
              <w:t>125</w:t>
            </w:r>
          </w:p>
        </w:tc>
      </w:tr>
      <w:tr w:rsidR="00EC0C92" w:rsidRPr="00EC0C92" w14:paraId="25C70E71" w14:textId="77777777" w:rsidTr="002B2E7F">
        <w:trPr>
          <w:trHeight w:val="458"/>
        </w:trPr>
        <w:tc>
          <w:tcPr>
            <w:tcW w:w="1841" w:type="dxa"/>
            <w:vMerge/>
          </w:tcPr>
          <w:p w14:paraId="6230A74C" w14:textId="77777777" w:rsidR="00EC0C92" w:rsidRPr="00EC0C92" w:rsidRDefault="00EC0C92" w:rsidP="002B2E7F">
            <w:pPr>
              <w:spacing w:before="100"/>
              <w:contextualSpacing/>
              <w:rPr>
                <w:rFonts w:eastAsia="Times New Roman"/>
                <w:color w:val="000000"/>
                <w:sz w:val="22"/>
                <w:szCs w:val="22"/>
                <w:lang w:val="en-US"/>
              </w:rPr>
            </w:pPr>
          </w:p>
        </w:tc>
        <w:tc>
          <w:tcPr>
            <w:tcW w:w="2062" w:type="dxa"/>
          </w:tcPr>
          <w:p w14:paraId="7F8F06B7" w14:textId="77777777" w:rsidR="00EC0C92" w:rsidRPr="00EC0C92" w:rsidRDefault="00EC0C92" w:rsidP="002B2E7F">
            <w:pPr>
              <w:spacing w:before="100"/>
              <w:contextualSpacing/>
              <w:rPr>
                <w:rFonts w:eastAsia="Times New Roman"/>
                <w:color w:val="000000"/>
                <w:sz w:val="22"/>
                <w:szCs w:val="22"/>
                <w:lang w:val="en-US"/>
              </w:rPr>
            </w:pPr>
            <w:r w:rsidRPr="00EC0C92">
              <w:rPr>
                <w:rFonts w:eastAsia="Times New Roman"/>
                <w:color w:val="000000"/>
                <w:sz w:val="22"/>
                <w:szCs w:val="22"/>
                <w:lang w:val="en-US"/>
              </w:rPr>
              <w:t>Totals</w:t>
            </w:r>
          </w:p>
        </w:tc>
        <w:tc>
          <w:tcPr>
            <w:tcW w:w="1443" w:type="dxa"/>
          </w:tcPr>
          <w:p w14:paraId="2D01A134" w14:textId="77777777" w:rsidR="00EC0C92" w:rsidRPr="00EC0C92" w:rsidRDefault="00EC0C92" w:rsidP="002B2E7F">
            <w:pPr>
              <w:spacing w:before="100"/>
              <w:contextualSpacing/>
              <w:rPr>
                <w:rFonts w:eastAsia="Times New Roman"/>
                <w:b/>
                <w:color w:val="000000"/>
                <w:sz w:val="22"/>
                <w:szCs w:val="22"/>
                <w:lang w:val="en-US"/>
              </w:rPr>
            </w:pPr>
            <w:r w:rsidRPr="00EC0C92">
              <w:rPr>
                <w:rFonts w:eastAsia="Times New Roman"/>
                <w:b/>
                <w:color w:val="000000"/>
                <w:sz w:val="22"/>
                <w:szCs w:val="22"/>
                <w:lang w:val="en-US"/>
              </w:rPr>
              <w:t>561</w:t>
            </w:r>
          </w:p>
        </w:tc>
        <w:tc>
          <w:tcPr>
            <w:tcW w:w="1319" w:type="dxa"/>
          </w:tcPr>
          <w:p w14:paraId="32921225" w14:textId="77777777" w:rsidR="00EC0C92" w:rsidRPr="00EC0C92" w:rsidRDefault="00EC0C92" w:rsidP="002B2E7F">
            <w:pPr>
              <w:spacing w:before="100"/>
              <w:contextualSpacing/>
              <w:rPr>
                <w:rFonts w:eastAsia="Times New Roman"/>
                <w:b/>
                <w:color w:val="000000"/>
                <w:sz w:val="22"/>
                <w:szCs w:val="22"/>
                <w:lang w:val="en-US"/>
              </w:rPr>
            </w:pPr>
            <w:r w:rsidRPr="00EC0C92">
              <w:rPr>
                <w:rFonts w:eastAsia="Times New Roman"/>
                <w:b/>
                <w:color w:val="000000"/>
                <w:sz w:val="22"/>
                <w:szCs w:val="22"/>
                <w:lang w:val="en-US"/>
              </w:rPr>
              <w:t>639</w:t>
            </w:r>
          </w:p>
        </w:tc>
        <w:tc>
          <w:tcPr>
            <w:tcW w:w="1615" w:type="dxa"/>
          </w:tcPr>
          <w:p w14:paraId="28CEEF82" w14:textId="77777777" w:rsidR="00EC0C92" w:rsidRPr="00EC0C92" w:rsidRDefault="00EC0C92" w:rsidP="002B2E7F">
            <w:pPr>
              <w:spacing w:before="100"/>
              <w:contextualSpacing/>
              <w:rPr>
                <w:rFonts w:eastAsia="Times New Roman"/>
                <w:b/>
                <w:color w:val="000000"/>
                <w:sz w:val="22"/>
                <w:szCs w:val="22"/>
                <w:lang w:val="en-US"/>
              </w:rPr>
            </w:pPr>
            <w:r w:rsidRPr="00EC0C92">
              <w:rPr>
                <w:rFonts w:eastAsia="Times New Roman"/>
                <w:b/>
                <w:color w:val="000000"/>
                <w:sz w:val="22"/>
                <w:szCs w:val="22"/>
                <w:lang w:val="en-US"/>
              </w:rPr>
              <w:t>1200</w:t>
            </w:r>
          </w:p>
        </w:tc>
      </w:tr>
    </w:tbl>
    <w:p w14:paraId="6081D213" w14:textId="77777777" w:rsidR="00EC0C92" w:rsidRPr="00EC0C92" w:rsidRDefault="00EC0C92" w:rsidP="00EC0C92">
      <w:pPr>
        <w:spacing w:before="120"/>
        <w:rPr>
          <w:rFonts w:eastAsia="Times New Roman"/>
          <w:b/>
          <w:sz w:val="22"/>
          <w:szCs w:val="22"/>
          <w:highlight w:val="yellow"/>
        </w:rPr>
      </w:pPr>
    </w:p>
    <w:p w14:paraId="6F65189D" w14:textId="77777777" w:rsidR="00EC0C92" w:rsidRPr="00EC0C92" w:rsidRDefault="00EC0C92" w:rsidP="00EC0C92">
      <w:pPr>
        <w:spacing w:before="120"/>
        <w:rPr>
          <w:rFonts w:eastAsia="Times New Roman"/>
          <w:b/>
          <w:sz w:val="22"/>
          <w:szCs w:val="22"/>
        </w:rPr>
      </w:pPr>
      <w:r w:rsidRPr="00EC0C92">
        <w:rPr>
          <w:rFonts w:eastAsia="Times New Roman"/>
          <w:b/>
          <w:sz w:val="22"/>
          <w:szCs w:val="22"/>
        </w:rPr>
        <w:t>Learning and teaching methods</w:t>
      </w:r>
    </w:p>
    <w:p w14:paraId="146E2697" w14:textId="77777777" w:rsidR="00EC0C92" w:rsidRPr="00EC0C92" w:rsidRDefault="00EC0C92" w:rsidP="00EC0C92">
      <w:pPr>
        <w:spacing w:after="0" w:line="240" w:lineRule="auto"/>
        <w:rPr>
          <w:rFonts w:eastAsia="Times New Roman"/>
          <w:color w:val="000000"/>
          <w:sz w:val="22"/>
          <w:szCs w:val="22"/>
        </w:rPr>
      </w:pPr>
      <w:bookmarkStart w:id="21" w:name="_Toc17205952"/>
      <w:bookmarkStart w:id="22" w:name="_Toc17206217"/>
      <w:bookmarkStart w:id="23" w:name="_Toc101427809"/>
      <w:bookmarkStart w:id="24" w:name="_Toc106104956"/>
      <w:bookmarkStart w:id="25" w:name="_Toc106105034"/>
      <w:r w:rsidRPr="00EC0C92">
        <w:rPr>
          <w:rFonts w:eastAsia="Times New Roman"/>
          <w:color w:val="000000"/>
          <w:sz w:val="22"/>
          <w:szCs w:val="22"/>
        </w:rPr>
        <w:t>Learning takes place through a blend of formal tuition, experiential learning and personal study.</w:t>
      </w:r>
    </w:p>
    <w:p w14:paraId="60CB2387" w14:textId="77777777" w:rsidR="00EC0C92" w:rsidRPr="00EC0C92" w:rsidRDefault="00EC0C92" w:rsidP="00EC0C92">
      <w:pPr>
        <w:spacing w:after="0" w:line="240" w:lineRule="auto"/>
        <w:rPr>
          <w:rFonts w:eastAsia="Times New Roman"/>
          <w:color w:val="000000"/>
          <w:sz w:val="22"/>
          <w:szCs w:val="22"/>
        </w:rPr>
      </w:pPr>
    </w:p>
    <w:p w14:paraId="6C1EE67B"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Singing, dancing and acting tuition is the central element of the provision, with the </w:t>
      </w:r>
      <w:r w:rsidRPr="00EC0C92">
        <w:rPr>
          <w:rFonts w:eastAsia="Times New Roman"/>
          <w:b/>
          <w:i/>
          <w:color w:val="000000"/>
          <w:sz w:val="22"/>
          <w:szCs w:val="22"/>
        </w:rPr>
        <w:t>Skills &amp; Techniques</w:t>
      </w:r>
      <w:r w:rsidRPr="00EC0C92">
        <w:rPr>
          <w:rFonts w:eastAsia="Times New Roman"/>
          <w:color w:val="000000"/>
          <w:sz w:val="22"/>
          <w:szCs w:val="22"/>
        </w:rPr>
        <w:t xml:space="preserve"> module consisting of a range of individual one-to-one lessons, intensive group tuition in singing, dancing and acting, and performance workshops. You will refine your audition technique during the </w:t>
      </w:r>
      <w:r w:rsidRPr="00EC0C92">
        <w:rPr>
          <w:rFonts w:eastAsia="Times New Roman"/>
          <w:b/>
          <w:i/>
          <w:color w:val="000000"/>
          <w:sz w:val="22"/>
          <w:szCs w:val="22"/>
        </w:rPr>
        <w:t>Preparing to Audition</w:t>
      </w:r>
      <w:r w:rsidRPr="00EC0C92">
        <w:rPr>
          <w:rFonts w:eastAsia="Times New Roman"/>
          <w:color w:val="000000"/>
          <w:sz w:val="22"/>
          <w:szCs w:val="22"/>
        </w:rPr>
        <w:t xml:space="preserve"> module, and you will develop and contextualise your individual learning within rehearsal and performance settings during the </w:t>
      </w:r>
      <w:r w:rsidRPr="00EC0C92">
        <w:rPr>
          <w:rFonts w:eastAsia="Times New Roman"/>
          <w:b/>
          <w:i/>
          <w:color w:val="000000"/>
          <w:sz w:val="22"/>
          <w:szCs w:val="22"/>
        </w:rPr>
        <w:t>Preparing to Perform</w:t>
      </w:r>
      <w:r w:rsidRPr="00EC0C92">
        <w:rPr>
          <w:rFonts w:eastAsia="Times New Roman"/>
          <w:color w:val="000000"/>
          <w:sz w:val="22"/>
          <w:szCs w:val="22"/>
        </w:rPr>
        <w:t xml:space="preserve"> </w:t>
      </w:r>
      <w:proofErr w:type="gramStart"/>
      <w:r w:rsidRPr="00EC0C92">
        <w:rPr>
          <w:rFonts w:eastAsia="Times New Roman"/>
          <w:color w:val="000000"/>
          <w:sz w:val="22"/>
          <w:szCs w:val="22"/>
        </w:rPr>
        <w:t>module, and</w:t>
      </w:r>
      <w:proofErr w:type="gramEnd"/>
      <w:r w:rsidRPr="00EC0C92">
        <w:rPr>
          <w:rFonts w:eastAsia="Times New Roman"/>
          <w:color w:val="000000"/>
          <w:sz w:val="22"/>
          <w:szCs w:val="22"/>
        </w:rPr>
        <w:t xml:space="preserve"> engage with cross-disciplinary working through participation in Trinity Laban’s renowned annual </w:t>
      </w:r>
      <w:proofErr w:type="spellStart"/>
      <w:r w:rsidRPr="00EC0C92">
        <w:rPr>
          <w:rFonts w:eastAsia="Times New Roman"/>
          <w:color w:val="000000"/>
          <w:sz w:val="22"/>
          <w:szCs w:val="22"/>
        </w:rPr>
        <w:t>CoLab</w:t>
      </w:r>
      <w:proofErr w:type="spellEnd"/>
      <w:r w:rsidRPr="00EC0C92">
        <w:rPr>
          <w:rFonts w:eastAsia="Times New Roman"/>
          <w:color w:val="000000"/>
          <w:sz w:val="22"/>
          <w:szCs w:val="22"/>
        </w:rPr>
        <w:t xml:space="preserve"> festival.</w:t>
      </w:r>
    </w:p>
    <w:p w14:paraId="787CE0DC" w14:textId="77777777" w:rsidR="00EC0C92" w:rsidRPr="00EC0C92" w:rsidRDefault="00EC0C92" w:rsidP="00EC0C92">
      <w:pPr>
        <w:spacing w:after="0" w:line="240" w:lineRule="auto"/>
        <w:rPr>
          <w:rFonts w:eastAsia="Times New Roman"/>
          <w:color w:val="000000"/>
          <w:sz w:val="22"/>
          <w:szCs w:val="22"/>
        </w:rPr>
      </w:pPr>
    </w:p>
    <w:p w14:paraId="69CB5294"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Throughout the programme your learning will be consolidated through extensive self-study which is aided by access to the College’s many learning resources. The programme aims to enable you to begin developing independent learning strategies for lifelong learning. Your tutors will regularly encourage you to reflect on your learning and to formulate personal programmes of study and targets for learning.</w:t>
      </w:r>
    </w:p>
    <w:p w14:paraId="382BDEF1" w14:textId="77777777" w:rsidR="00EC0C92" w:rsidRPr="00EC0C92" w:rsidRDefault="00EC0C92" w:rsidP="00EC0C92">
      <w:pPr>
        <w:spacing w:after="0" w:line="240" w:lineRule="auto"/>
        <w:rPr>
          <w:rFonts w:eastAsia="Times New Roman"/>
          <w:color w:val="000000"/>
          <w:sz w:val="22"/>
          <w:szCs w:val="22"/>
        </w:rPr>
      </w:pPr>
    </w:p>
    <w:p w14:paraId="0614A1F7"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Certain modules/components in the programme will involve studying with other students in a collaborative way (e.g. creating work with other musicians, dancers and/or other artists). This may involve working alongside students from other programmes at a variety of levels. Collaboration </w:t>
      </w:r>
      <w:proofErr w:type="gramStart"/>
      <w:r w:rsidRPr="00EC0C92">
        <w:rPr>
          <w:rFonts w:eastAsia="Times New Roman"/>
          <w:color w:val="000000"/>
          <w:sz w:val="22"/>
          <w:szCs w:val="22"/>
        </w:rPr>
        <w:t>is considered to be</w:t>
      </w:r>
      <w:proofErr w:type="gramEnd"/>
      <w:r w:rsidRPr="00EC0C92">
        <w:rPr>
          <w:rFonts w:eastAsia="Times New Roman"/>
          <w:color w:val="000000"/>
          <w:sz w:val="22"/>
          <w:szCs w:val="22"/>
        </w:rPr>
        <w:t xml:space="preserve"> at the heart of professional artistic life and opportunities such as these represent valuable learning experiences.</w:t>
      </w:r>
    </w:p>
    <w:p w14:paraId="60962F1C" w14:textId="77777777" w:rsidR="00EC0C92" w:rsidRPr="00EC0C92" w:rsidRDefault="00EC0C92" w:rsidP="00EC0C92">
      <w:pPr>
        <w:spacing w:after="0" w:line="240" w:lineRule="auto"/>
        <w:rPr>
          <w:rFonts w:eastAsia="Times New Roman"/>
          <w:color w:val="000000"/>
          <w:sz w:val="22"/>
          <w:szCs w:val="22"/>
        </w:rPr>
      </w:pPr>
    </w:p>
    <w:p w14:paraId="7C9A2FB7"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The learning and teaching methods are designed to meet the programme aims and learning outcomes. A wide range of methods is used to support the diverse learning approaches of the student and to provide the breadth and depth of learning experiences essential for the rigorous training of multi-skilled artists who will be able to maximise their professional opportunities in the highly competitive field. </w:t>
      </w:r>
    </w:p>
    <w:p w14:paraId="42258AEC" w14:textId="77777777" w:rsidR="00EC0C92" w:rsidRPr="00EC0C92" w:rsidRDefault="00EC0C92" w:rsidP="00EC0C92">
      <w:pPr>
        <w:spacing w:after="0" w:line="240" w:lineRule="auto"/>
        <w:rPr>
          <w:rFonts w:eastAsia="Times New Roman"/>
          <w:color w:val="000000"/>
          <w:sz w:val="22"/>
          <w:szCs w:val="22"/>
        </w:rPr>
      </w:pPr>
    </w:p>
    <w:p w14:paraId="354F5AEC"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Teaching/learning methods:</w:t>
      </w:r>
    </w:p>
    <w:p w14:paraId="405FEBBF"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Studio based practical classes </w:t>
      </w:r>
    </w:p>
    <w:p w14:paraId="3AE3DA53"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Lectures and seminars </w:t>
      </w:r>
    </w:p>
    <w:p w14:paraId="523B771F"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Individual and group tutorials </w:t>
      </w:r>
    </w:p>
    <w:p w14:paraId="4E55B95A"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Tutor- and guest artist- led workshops </w:t>
      </w:r>
    </w:p>
    <w:p w14:paraId="49B48A69"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Self-directed study </w:t>
      </w:r>
    </w:p>
    <w:p w14:paraId="2E2EBA62"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Individual and group projects </w:t>
      </w:r>
    </w:p>
    <w:p w14:paraId="51B10C14"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Self and peer feedback </w:t>
      </w:r>
    </w:p>
    <w:p w14:paraId="10294A3D"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Hands-on practical task-based activities </w:t>
      </w:r>
    </w:p>
    <w:p w14:paraId="1B11BA03" w14:textId="77777777" w:rsidR="00EC0C92" w:rsidRPr="00EC0C92" w:rsidRDefault="00EC0C92" w:rsidP="00EC0C92">
      <w:pPr>
        <w:spacing w:after="0" w:line="240" w:lineRule="auto"/>
        <w:rPr>
          <w:rFonts w:eastAsia="Times New Roman"/>
          <w:color w:val="000000"/>
          <w:sz w:val="22"/>
          <w:szCs w:val="22"/>
        </w:rPr>
      </w:pPr>
    </w:p>
    <w:p w14:paraId="1219D33E"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caps/>
          <w:spacing w:val="15"/>
          <w:sz w:val="22"/>
          <w:szCs w:val="22"/>
        </w:rPr>
      </w:pPr>
      <w:r w:rsidRPr="00EC0C92">
        <w:rPr>
          <w:rFonts w:eastAsia="Times New Roman"/>
          <w:b/>
          <w:caps/>
          <w:spacing w:val="15"/>
          <w:sz w:val="22"/>
          <w:szCs w:val="22"/>
        </w:rPr>
        <w:t>assessment</w:t>
      </w:r>
      <w:bookmarkEnd w:id="21"/>
      <w:bookmarkEnd w:id="22"/>
      <w:bookmarkEnd w:id="23"/>
      <w:bookmarkEnd w:id="24"/>
      <w:bookmarkEnd w:id="25"/>
    </w:p>
    <w:p w14:paraId="03C9B650" w14:textId="77777777" w:rsidR="00EC0C92" w:rsidRPr="00EC0C92" w:rsidRDefault="00EC0C92" w:rsidP="00EC0C92">
      <w:pPr>
        <w:spacing w:before="120"/>
        <w:rPr>
          <w:rFonts w:eastAsia="Times New Roman"/>
          <w:b/>
          <w:sz w:val="22"/>
          <w:szCs w:val="22"/>
        </w:rPr>
      </w:pPr>
      <w:bookmarkStart w:id="26" w:name="_Toc17205953"/>
      <w:bookmarkStart w:id="27" w:name="_Toc17206218"/>
      <w:bookmarkStart w:id="28" w:name="_Toc101427810"/>
      <w:bookmarkStart w:id="29" w:name="_Toc106104957"/>
      <w:bookmarkStart w:id="30" w:name="_Toc106105035"/>
      <w:r w:rsidRPr="00EC0C92">
        <w:rPr>
          <w:rFonts w:eastAsia="Times New Roman"/>
          <w:b/>
          <w:sz w:val="22"/>
          <w:szCs w:val="22"/>
        </w:rPr>
        <w:t>Overview</w:t>
      </w:r>
    </w:p>
    <w:p w14:paraId="6C63C4CC" w14:textId="77777777" w:rsidR="00EC0C92" w:rsidRPr="00EC0C92" w:rsidRDefault="00EC0C92" w:rsidP="00EC0C92">
      <w:pPr>
        <w:spacing w:before="120"/>
        <w:rPr>
          <w:rFonts w:eastAsia="Times New Roman"/>
          <w:sz w:val="22"/>
          <w:szCs w:val="22"/>
        </w:rPr>
      </w:pPr>
      <w:r w:rsidRPr="00EC0C92">
        <w:rPr>
          <w:rFonts w:eastAsia="Times New Roman"/>
          <w:sz w:val="22"/>
          <w:szCs w:val="22"/>
        </w:rPr>
        <w:t xml:space="preserve">The </w:t>
      </w:r>
      <w:proofErr w:type="spellStart"/>
      <w:r w:rsidRPr="00EC0C92">
        <w:rPr>
          <w:rFonts w:eastAsia="Times New Roman"/>
          <w:sz w:val="22"/>
          <w:szCs w:val="22"/>
        </w:rPr>
        <w:t>CertHE</w:t>
      </w:r>
      <w:proofErr w:type="spellEnd"/>
      <w:r w:rsidRPr="00EC0C92">
        <w:rPr>
          <w:rFonts w:eastAsia="Times New Roman"/>
          <w:sz w:val="22"/>
          <w:szCs w:val="22"/>
        </w:rPr>
        <w:t xml:space="preserve"> Foundations of Musical Theatre is divided into three modules: </w:t>
      </w:r>
      <w:r w:rsidRPr="00EC0C92">
        <w:rPr>
          <w:rFonts w:eastAsia="Times New Roman"/>
          <w:i/>
          <w:sz w:val="22"/>
          <w:szCs w:val="22"/>
        </w:rPr>
        <w:t>Skills and Techniques</w:t>
      </w:r>
      <w:r w:rsidRPr="00EC0C92">
        <w:rPr>
          <w:rFonts w:eastAsia="Times New Roman"/>
          <w:sz w:val="22"/>
          <w:szCs w:val="22"/>
        </w:rPr>
        <w:t xml:space="preserve">, </w:t>
      </w:r>
      <w:r w:rsidRPr="00EC0C92">
        <w:rPr>
          <w:rFonts w:eastAsia="Times New Roman"/>
          <w:i/>
          <w:sz w:val="22"/>
          <w:szCs w:val="22"/>
        </w:rPr>
        <w:t>Preparing to Audition</w:t>
      </w:r>
      <w:r w:rsidRPr="00EC0C92">
        <w:rPr>
          <w:rFonts w:eastAsia="Times New Roman"/>
          <w:sz w:val="22"/>
          <w:szCs w:val="22"/>
        </w:rPr>
        <w:t xml:space="preserve">, and </w:t>
      </w:r>
      <w:r w:rsidRPr="00EC0C92">
        <w:rPr>
          <w:rFonts w:eastAsia="Times New Roman"/>
          <w:i/>
          <w:sz w:val="22"/>
          <w:szCs w:val="22"/>
        </w:rPr>
        <w:t>Preparing to Perform</w:t>
      </w:r>
      <w:r w:rsidRPr="00EC0C92">
        <w:rPr>
          <w:rFonts w:eastAsia="Times New Roman"/>
          <w:sz w:val="22"/>
          <w:szCs w:val="22"/>
        </w:rPr>
        <w:t xml:space="preserve">. </w:t>
      </w:r>
    </w:p>
    <w:p w14:paraId="4A81A69E"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In the </w:t>
      </w:r>
      <w:r w:rsidRPr="00EC0C92">
        <w:rPr>
          <w:rFonts w:eastAsia="Times New Roman"/>
          <w:b/>
          <w:bCs/>
          <w:i/>
          <w:color w:val="000000"/>
          <w:sz w:val="22"/>
          <w:szCs w:val="22"/>
        </w:rPr>
        <w:t>Skills and Techniques</w:t>
      </w:r>
      <w:r w:rsidRPr="00EC0C92">
        <w:rPr>
          <w:rFonts w:eastAsia="Times New Roman"/>
          <w:color w:val="000000"/>
          <w:sz w:val="22"/>
          <w:szCs w:val="22"/>
        </w:rPr>
        <w:t xml:space="preserve"> module, you will be assessed in the form of a mock audition on the development of your singing, dancing and acting skills and the submission of a Skills and Techniques portfolio which reflects on your progress. </w:t>
      </w:r>
    </w:p>
    <w:p w14:paraId="6AE1D370" w14:textId="77777777" w:rsidR="00EC0C92" w:rsidRPr="00EC0C92" w:rsidRDefault="00EC0C92" w:rsidP="00EC0C92">
      <w:pPr>
        <w:spacing w:after="0" w:line="240" w:lineRule="auto"/>
        <w:rPr>
          <w:rFonts w:eastAsia="Times New Roman"/>
          <w:color w:val="000000"/>
          <w:sz w:val="22"/>
          <w:szCs w:val="22"/>
        </w:rPr>
      </w:pPr>
    </w:p>
    <w:p w14:paraId="747959EF"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For the </w:t>
      </w:r>
      <w:r w:rsidRPr="00EC0C92">
        <w:rPr>
          <w:rFonts w:eastAsia="Times New Roman"/>
          <w:b/>
          <w:i/>
          <w:color w:val="000000"/>
          <w:sz w:val="22"/>
          <w:szCs w:val="22"/>
        </w:rPr>
        <w:t>Preparing to Audition</w:t>
      </w:r>
      <w:r w:rsidRPr="00EC0C92">
        <w:rPr>
          <w:rFonts w:eastAsia="Times New Roman"/>
          <w:b/>
          <w:color w:val="000000"/>
          <w:sz w:val="22"/>
          <w:szCs w:val="22"/>
        </w:rPr>
        <w:t xml:space="preserve"> Module</w:t>
      </w:r>
      <w:r w:rsidRPr="00EC0C92">
        <w:rPr>
          <w:rFonts w:eastAsia="Times New Roman"/>
          <w:color w:val="000000"/>
          <w:sz w:val="22"/>
          <w:szCs w:val="22"/>
        </w:rPr>
        <w:t xml:space="preserve"> assessment you will prepare and submit a portfolio of audition material designed to support your application for further study at Level 4-6. Your portfolio submission will be designed to support your learning by engaging you with preparatory and research activities including the development of audition repertoire.</w:t>
      </w:r>
    </w:p>
    <w:p w14:paraId="6E7C158A" w14:textId="77777777" w:rsidR="00EC0C92" w:rsidRPr="00EC0C92" w:rsidRDefault="00EC0C92" w:rsidP="00EC0C92">
      <w:pPr>
        <w:spacing w:after="0" w:line="240" w:lineRule="auto"/>
        <w:rPr>
          <w:rFonts w:eastAsia="Times New Roman"/>
          <w:color w:val="000000"/>
          <w:sz w:val="22"/>
          <w:szCs w:val="22"/>
        </w:rPr>
      </w:pPr>
    </w:p>
    <w:p w14:paraId="295348BE" w14:textId="77777777" w:rsidR="00EC0C92" w:rsidRPr="00EC0C92" w:rsidRDefault="00EC0C92" w:rsidP="00EC0C92">
      <w:pPr>
        <w:spacing w:after="0" w:line="240" w:lineRule="auto"/>
        <w:rPr>
          <w:rFonts w:eastAsia="Times New Roman"/>
          <w:sz w:val="22"/>
          <w:szCs w:val="22"/>
        </w:rPr>
      </w:pPr>
      <w:r w:rsidRPr="00EC0C92">
        <w:rPr>
          <w:rFonts w:eastAsia="Times New Roman"/>
          <w:sz w:val="22"/>
          <w:szCs w:val="22"/>
        </w:rPr>
        <w:t xml:space="preserve">Although the </w:t>
      </w:r>
      <w:r w:rsidRPr="00EC0C92">
        <w:rPr>
          <w:rFonts w:eastAsia="Times New Roman"/>
          <w:b/>
          <w:i/>
          <w:sz w:val="22"/>
          <w:szCs w:val="22"/>
        </w:rPr>
        <w:t>Preparing to Perform</w:t>
      </w:r>
      <w:r w:rsidRPr="00EC0C92">
        <w:rPr>
          <w:rFonts w:eastAsia="Times New Roman"/>
          <w:sz w:val="22"/>
          <w:szCs w:val="22"/>
        </w:rPr>
        <w:t xml:space="preserve"> module will culminate in </w:t>
      </w:r>
      <w:proofErr w:type="gramStart"/>
      <w:r w:rsidRPr="00EC0C92">
        <w:rPr>
          <w:rFonts w:eastAsia="Times New Roman"/>
          <w:sz w:val="22"/>
          <w:szCs w:val="22"/>
        </w:rPr>
        <w:t>a number of</w:t>
      </w:r>
      <w:proofErr w:type="gramEnd"/>
      <w:r w:rsidRPr="00EC0C92">
        <w:rPr>
          <w:rFonts w:eastAsia="Times New Roman"/>
          <w:sz w:val="22"/>
          <w:szCs w:val="22"/>
        </w:rPr>
        <w:t xml:space="preserve"> public performances, only the </w:t>
      </w:r>
      <w:r w:rsidRPr="00EC0C92">
        <w:rPr>
          <w:rFonts w:eastAsia="Times New Roman"/>
          <w:sz w:val="22"/>
          <w:szCs w:val="22"/>
          <w:u w:val="single"/>
        </w:rPr>
        <w:t>rehearsal element</w:t>
      </w:r>
      <w:r w:rsidRPr="00EC0C92">
        <w:rPr>
          <w:rFonts w:eastAsia="Times New Roman"/>
          <w:sz w:val="22"/>
          <w:szCs w:val="22"/>
        </w:rPr>
        <w:t xml:space="preserve"> of the module is formally assessed. </w:t>
      </w:r>
    </w:p>
    <w:p w14:paraId="7B1A735E"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Gradings are agreed between the Creative Team using formal assessment criteria. The rehearsal assessment will reflect your own and directed preparation; punctuality/</w:t>
      </w:r>
      <w:proofErr w:type="gramStart"/>
      <w:r w:rsidRPr="00EC0C92">
        <w:rPr>
          <w:rFonts w:eastAsia="Times New Roman"/>
          <w:color w:val="000000"/>
          <w:sz w:val="22"/>
          <w:szCs w:val="22"/>
        </w:rPr>
        <w:t>time-keeping</w:t>
      </w:r>
      <w:proofErr w:type="gramEnd"/>
      <w:r w:rsidRPr="00EC0C92">
        <w:rPr>
          <w:rFonts w:eastAsia="Times New Roman"/>
          <w:color w:val="000000"/>
          <w:sz w:val="22"/>
          <w:szCs w:val="22"/>
        </w:rPr>
        <w:t xml:space="preserve">; the quality of your participation and contribution to ensemble; your adaptability and responsiveness to direction (from any of Creative Team). </w:t>
      </w:r>
    </w:p>
    <w:p w14:paraId="40C8CEE4" w14:textId="77777777" w:rsidR="00EC0C92" w:rsidRPr="00EC0C92" w:rsidRDefault="00EC0C92" w:rsidP="00EC0C92">
      <w:pPr>
        <w:spacing w:after="0" w:line="240" w:lineRule="auto"/>
        <w:rPr>
          <w:rFonts w:eastAsia="Times New Roman"/>
          <w:color w:val="000000"/>
          <w:sz w:val="22"/>
          <w:szCs w:val="22"/>
        </w:rPr>
      </w:pPr>
    </w:p>
    <w:p w14:paraId="72B5D079"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You will receive regular formative feedback in class from teachers, and written feedback (including an indicative grading) following each formal assessment point.</w:t>
      </w:r>
    </w:p>
    <w:p w14:paraId="440BB562" w14:textId="77777777" w:rsidR="00EC0C92" w:rsidRPr="00EC0C92" w:rsidRDefault="00EC0C92" w:rsidP="00EC0C92">
      <w:pPr>
        <w:spacing w:after="0" w:line="240" w:lineRule="auto"/>
        <w:rPr>
          <w:rFonts w:eastAsia="Times New Roman"/>
          <w:color w:val="000000"/>
          <w:sz w:val="22"/>
          <w:szCs w:val="22"/>
        </w:rPr>
      </w:pPr>
    </w:p>
    <w:p w14:paraId="103A3B29"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A wide variety of assessment methods is used to reflect the diverse learning experiences you will encounter on the programme and to give you the opportunity to demonstrate your acquisition of a broad range of skills, knowledge and understanding in the depth necessary for you to become a rounded and versatile dance artist. These include:</w:t>
      </w:r>
    </w:p>
    <w:p w14:paraId="24FC3D1B" w14:textId="77777777" w:rsidR="00EC0C92" w:rsidRPr="00EC0C92" w:rsidRDefault="00EC0C92" w:rsidP="00EC0C92">
      <w:pPr>
        <w:spacing w:after="0" w:line="240" w:lineRule="auto"/>
        <w:rPr>
          <w:rFonts w:eastAsia="Times New Roman"/>
          <w:color w:val="000000"/>
          <w:sz w:val="22"/>
          <w:szCs w:val="22"/>
          <w:u w:val="single"/>
        </w:rPr>
      </w:pPr>
    </w:p>
    <w:p w14:paraId="7BC10AE6"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Practical tasks </w:t>
      </w:r>
    </w:p>
    <w:p w14:paraId="37CC0E72"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Performance presentations </w:t>
      </w:r>
    </w:p>
    <w:p w14:paraId="2A52ECAE"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Rehearsal </w:t>
      </w:r>
    </w:p>
    <w:p w14:paraId="4A4E8AB4"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Research based academic writing </w:t>
      </w:r>
    </w:p>
    <w:p w14:paraId="422BFDC6"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sym w:font="Symbol" w:char="F0B7"/>
      </w:r>
      <w:r w:rsidRPr="00EC0C92">
        <w:rPr>
          <w:rFonts w:eastAsia="Times New Roman"/>
          <w:color w:val="000000"/>
          <w:sz w:val="22"/>
          <w:szCs w:val="22"/>
        </w:rPr>
        <w:t xml:space="preserve"> Reflective writing </w:t>
      </w:r>
    </w:p>
    <w:p w14:paraId="2CB35B5D" w14:textId="77777777" w:rsidR="00EC0C92" w:rsidRPr="00EC0C92" w:rsidRDefault="00EC0C92" w:rsidP="00EC0C92">
      <w:pPr>
        <w:spacing w:after="0" w:line="240" w:lineRule="auto"/>
        <w:rPr>
          <w:rFonts w:eastAsia="Times New Roman"/>
          <w:color w:val="000000"/>
          <w:sz w:val="22"/>
          <w:szCs w:val="22"/>
        </w:rPr>
      </w:pPr>
    </w:p>
    <w:p w14:paraId="77C4CEBB" w14:textId="77777777" w:rsidR="00EC0C92" w:rsidRPr="00EC0C92" w:rsidRDefault="00EC0C92" w:rsidP="00EC0C92">
      <w:pPr>
        <w:spacing w:after="0" w:line="240" w:lineRule="auto"/>
        <w:rPr>
          <w:rFonts w:eastAsia="Times New Roman"/>
          <w:b/>
          <w:sz w:val="22"/>
          <w:szCs w:val="22"/>
        </w:rPr>
      </w:pPr>
      <w:r w:rsidRPr="00EC0C92">
        <w:rPr>
          <w:rFonts w:eastAsia="Times New Roman"/>
          <w:b/>
          <w:sz w:val="22"/>
          <w:szCs w:val="22"/>
        </w:rPr>
        <w:t>What do I have to do to pass?</w:t>
      </w:r>
    </w:p>
    <w:p w14:paraId="543BD4DE"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To pass the year and receive a formal certificate of participation, you must satisfactorily PASS (40%) each of the modules that constitute the Programme. The mark awarded for each assessment will be based on the module-specific assessment criteria and the Institutional Generic Marking Criteria.  </w:t>
      </w:r>
    </w:p>
    <w:p w14:paraId="16622916" w14:textId="77777777" w:rsidR="00EC0C92" w:rsidRPr="00EC0C92" w:rsidRDefault="00EC0C92" w:rsidP="00EC0C92">
      <w:pPr>
        <w:spacing w:after="0" w:line="240" w:lineRule="auto"/>
        <w:rPr>
          <w:rFonts w:eastAsia="Times New Roman"/>
          <w:color w:val="000000"/>
          <w:sz w:val="22"/>
          <w:szCs w:val="22"/>
        </w:rPr>
      </w:pPr>
    </w:p>
    <w:p w14:paraId="4ECEDBB3" w14:textId="77777777" w:rsidR="00EC0C92" w:rsidRPr="00EC0C92" w:rsidRDefault="00EC0C92" w:rsidP="00EC0C92">
      <w:pPr>
        <w:spacing w:after="0" w:line="240" w:lineRule="auto"/>
        <w:rPr>
          <w:rFonts w:eastAsia="Times New Roman"/>
          <w:sz w:val="22"/>
          <w:szCs w:val="22"/>
        </w:rPr>
      </w:pPr>
      <w:r w:rsidRPr="00EC0C92">
        <w:rPr>
          <w:rFonts w:eastAsia="Times New Roman"/>
          <w:color w:val="000000"/>
          <w:sz w:val="22"/>
          <w:szCs w:val="22"/>
        </w:rPr>
        <w:t>Failed assessments may be retrieved by resitting. The Assessment Board will determine resit opportunities and arrangements based on the Assessment Regulations for Taught Programmes.</w:t>
      </w:r>
    </w:p>
    <w:p w14:paraId="70CF5065"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bCs/>
          <w:caps/>
          <w:spacing w:val="15"/>
          <w:sz w:val="22"/>
          <w:szCs w:val="22"/>
        </w:rPr>
      </w:pPr>
      <w:r w:rsidRPr="00EC0C92">
        <w:rPr>
          <w:rFonts w:eastAsia="Times New Roman"/>
          <w:b/>
          <w:bCs/>
          <w:caps/>
          <w:spacing w:val="15"/>
          <w:sz w:val="22"/>
          <w:szCs w:val="22"/>
        </w:rPr>
        <w:t>awards</w:t>
      </w:r>
      <w:bookmarkEnd w:id="26"/>
      <w:bookmarkEnd w:id="27"/>
      <w:bookmarkEnd w:id="28"/>
      <w:bookmarkEnd w:id="29"/>
      <w:bookmarkEnd w:id="30"/>
    </w:p>
    <w:p w14:paraId="5C4C21E2" w14:textId="77777777" w:rsidR="00EC0C92" w:rsidRPr="00EC0C92" w:rsidRDefault="00EC0C92" w:rsidP="00EC0C92">
      <w:pPr>
        <w:spacing w:before="100"/>
        <w:rPr>
          <w:rFonts w:eastAsia="Times New Roman"/>
          <w:color w:val="000000"/>
          <w:sz w:val="22"/>
          <w:szCs w:val="22"/>
          <w:highlight w:val="yellow"/>
        </w:rPr>
      </w:pPr>
      <w:r w:rsidRPr="00EC0C92">
        <w:rPr>
          <w:rFonts w:eastAsia="Times New Roman"/>
          <w:color w:val="000000"/>
          <w:sz w:val="22"/>
          <w:szCs w:val="22"/>
        </w:rPr>
        <w:t xml:space="preserve">This Programme of study leads to a Level 4 </w:t>
      </w:r>
      <w:proofErr w:type="spellStart"/>
      <w:r w:rsidRPr="00EC0C92">
        <w:rPr>
          <w:rFonts w:eastAsia="Times New Roman"/>
          <w:color w:val="000000"/>
          <w:sz w:val="22"/>
          <w:szCs w:val="22"/>
        </w:rPr>
        <w:t>CertHE</w:t>
      </w:r>
      <w:proofErr w:type="spellEnd"/>
      <w:r w:rsidRPr="00EC0C92">
        <w:rPr>
          <w:rFonts w:eastAsia="Times New Roman"/>
          <w:color w:val="000000"/>
          <w:sz w:val="22"/>
          <w:szCs w:val="22"/>
        </w:rPr>
        <w:t xml:space="preserve"> award. </w:t>
      </w:r>
      <w:r w:rsidRPr="00EC0C92">
        <w:rPr>
          <w:rFonts w:eastAsia="Times New Roman"/>
          <w:sz w:val="22"/>
          <w:szCs w:val="22"/>
        </w:rPr>
        <w:t xml:space="preserve">The </w:t>
      </w:r>
      <w:proofErr w:type="spellStart"/>
      <w:r w:rsidRPr="00EC0C92">
        <w:rPr>
          <w:rFonts w:eastAsia="Times New Roman"/>
          <w:sz w:val="22"/>
          <w:szCs w:val="22"/>
        </w:rPr>
        <w:t>CertHE</w:t>
      </w:r>
      <w:proofErr w:type="spellEnd"/>
      <w:r w:rsidRPr="00EC0C92">
        <w:rPr>
          <w:rFonts w:eastAsia="Times New Roman"/>
          <w:sz w:val="22"/>
          <w:szCs w:val="22"/>
        </w:rPr>
        <w:t xml:space="preserve"> is awarded without classification.</w:t>
      </w:r>
    </w:p>
    <w:p w14:paraId="6FBCCA38"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caps/>
          <w:spacing w:val="15"/>
          <w:sz w:val="22"/>
          <w:szCs w:val="22"/>
        </w:rPr>
      </w:pPr>
      <w:bookmarkStart w:id="31" w:name="_Toc17205954"/>
      <w:bookmarkStart w:id="32" w:name="_Toc17206219"/>
      <w:bookmarkStart w:id="33" w:name="_Toc101427811"/>
      <w:bookmarkStart w:id="34" w:name="_Toc106104958"/>
      <w:bookmarkStart w:id="35" w:name="_Toc106105036"/>
      <w:r w:rsidRPr="00EC0C92">
        <w:rPr>
          <w:rFonts w:eastAsia="Times New Roman"/>
          <w:b/>
          <w:caps/>
          <w:spacing w:val="15"/>
          <w:sz w:val="22"/>
          <w:szCs w:val="22"/>
        </w:rPr>
        <w:t>admissions criteria</w:t>
      </w:r>
      <w:bookmarkEnd w:id="31"/>
      <w:bookmarkEnd w:id="32"/>
      <w:bookmarkEnd w:id="33"/>
      <w:bookmarkEnd w:id="34"/>
      <w:bookmarkEnd w:id="35"/>
    </w:p>
    <w:p w14:paraId="38A6AE7F"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The programme is designed for less experienced students and those who wish to develop their skills before pursuing additional vocational training. A wide variety of candidates may find this programme to be suitable, for example: gap-year students preparing for entry to a conservatoire or university; those seeking to further develop their musical theatre skills before auditions; those wishing to consolidate their interest in musical theatre prior to university interviews; those seeking to develop their artistic identity whilst enjoying London's cultural scene; or those seeking to establish a more secure technique or understanding of the industry before making decisions about further study.</w:t>
      </w:r>
    </w:p>
    <w:p w14:paraId="6D810431" w14:textId="77777777" w:rsidR="00EC0C92" w:rsidRPr="00EC0C92" w:rsidRDefault="00EC0C92" w:rsidP="00EC0C92">
      <w:pPr>
        <w:spacing w:after="0" w:line="240" w:lineRule="auto"/>
        <w:rPr>
          <w:rFonts w:eastAsia="Times New Roman"/>
          <w:color w:val="000000"/>
          <w:sz w:val="22"/>
          <w:szCs w:val="22"/>
        </w:rPr>
      </w:pPr>
    </w:p>
    <w:p w14:paraId="098AC5A3"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Trinity Laban places greater emphasis on its own auditions than on formal qualifications. As a guide, please note that the course is aimed at students considering entry to undergraduate study at conservatoire or university, and places are offered to candidates who demonstrate the potential to reach that level within the year. The audition for the </w:t>
      </w:r>
      <w:proofErr w:type="spellStart"/>
      <w:r w:rsidRPr="00EC0C92">
        <w:rPr>
          <w:rFonts w:eastAsia="Times New Roman"/>
          <w:color w:val="000000"/>
          <w:sz w:val="22"/>
          <w:szCs w:val="22"/>
        </w:rPr>
        <w:t>CertHE</w:t>
      </w:r>
      <w:proofErr w:type="spellEnd"/>
      <w:r w:rsidRPr="00EC0C92">
        <w:rPr>
          <w:rFonts w:eastAsia="Times New Roman"/>
          <w:color w:val="000000"/>
          <w:sz w:val="22"/>
          <w:szCs w:val="22"/>
        </w:rPr>
        <w:t xml:space="preserve"> Foundations of Musical Theatre takes the same form as the audition for the BA (Hons) Musical Theatre Performance degree, but the expected levels of attainment are different. </w:t>
      </w:r>
    </w:p>
    <w:p w14:paraId="2BCCBF2E" w14:textId="77777777" w:rsidR="00EC0C92" w:rsidRPr="00EC0C92" w:rsidRDefault="00EC0C92" w:rsidP="00EC0C92">
      <w:pPr>
        <w:spacing w:after="0" w:line="240" w:lineRule="auto"/>
        <w:rPr>
          <w:rFonts w:eastAsia="Times New Roman"/>
          <w:color w:val="000000"/>
          <w:sz w:val="22"/>
          <w:szCs w:val="22"/>
        </w:rPr>
      </w:pPr>
    </w:p>
    <w:p w14:paraId="68CF0DB1"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For students whose first language is not English, an English language assessment will be undertaken on application/audition, </w:t>
      </w:r>
      <w:proofErr w:type="gramStart"/>
      <w:r w:rsidRPr="00EC0C92">
        <w:rPr>
          <w:rFonts w:eastAsia="Times New Roman"/>
          <w:color w:val="000000"/>
          <w:sz w:val="22"/>
          <w:szCs w:val="22"/>
        </w:rPr>
        <w:t>on the basis of</w:t>
      </w:r>
      <w:proofErr w:type="gramEnd"/>
      <w:r w:rsidRPr="00EC0C92">
        <w:rPr>
          <w:rFonts w:eastAsia="Times New Roman"/>
          <w:color w:val="000000"/>
          <w:sz w:val="22"/>
          <w:szCs w:val="22"/>
        </w:rPr>
        <w:t xml:space="preserve"> which a recommendation for further study may be made. The normal minimum standard for entry to the programmes is IELTS 5.5 in all four areas. This is also the minimum requirement for Tier 4 student visas. Alternative English Language accreditation will be considered.</w:t>
      </w:r>
    </w:p>
    <w:p w14:paraId="6A4D322A" w14:textId="77777777" w:rsidR="00EC0C92" w:rsidRPr="00EC0C92" w:rsidRDefault="00EC0C92" w:rsidP="00EC0C92">
      <w:pPr>
        <w:spacing w:after="0" w:line="240" w:lineRule="auto"/>
        <w:rPr>
          <w:rFonts w:eastAsia="Times New Roman"/>
          <w:color w:val="000000"/>
          <w:sz w:val="22"/>
          <w:szCs w:val="22"/>
        </w:rPr>
      </w:pPr>
    </w:p>
    <w:p w14:paraId="2E8A608E" w14:textId="77777777" w:rsidR="00EC0C92" w:rsidRPr="00EC0C92" w:rsidRDefault="00EC0C92" w:rsidP="00EC0C92">
      <w:pPr>
        <w:spacing w:after="0" w:line="240" w:lineRule="auto"/>
        <w:rPr>
          <w:rFonts w:eastAsia="Times New Roman"/>
          <w:color w:val="000000"/>
          <w:sz w:val="22"/>
          <w:szCs w:val="22"/>
        </w:rPr>
      </w:pPr>
      <w:r w:rsidRPr="00EC0C92">
        <w:rPr>
          <w:rFonts w:eastAsia="Times New Roman"/>
          <w:color w:val="000000"/>
          <w:sz w:val="22"/>
          <w:szCs w:val="22"/>
        </w:rPr>
        <w:t xml:space="preserve">International students benefit from all the facilities and performance opportunities available at the Conservatoire and enjoy the unique experience of living and studying within our vibrant international community. Successful applicants will normally qualify for a Tier 4 (General) Student Visa. </w:t>
      </w:r>
    </w:p>
    <w:p w14:paraId="0DA705A0" w14:textId="77777777" w:rsidR="00EC0C92" w:rsidRPr="00EC0C92" w:rsidRDefault="00EC0C92" w:rsidP="00EC0C92">
      <w:pPr>
        <w:rPr>
          <w:b/>
          <w:sz w:val="22"/>
          <w:szCs w:val="22"/>
        </w:rPr>
      </w:pPr>
    </w:p>
    <w:p w14:paraId="5B8F7D07" w14:textId="77777777" w:rsidR="00EC0C92" w:rsidRPr="00EC0C92" w:rsidRDefault="00EC0C92" w:rsidP="00EC0C92">
      <w:pPr>
        <w:pBdr>
          <w:top w:val="single" w:sz="24" w:space="0" w:color="D1EEF9"/>
          <w:left w:val="single" w:sz="24" w:space="0" w:color="D1EEF9"/>
          <w:bottom w:val="single" w:sz="24" w:space="0" w:color="D1EEF9"/>
          <w:right w:val="single" w:sz="24" w:space="0" w:color="D1EEF9"/>
        </w:pBdr>
        <w:shd w:val="clear" w:color="auto" w:fill="D1EEF9"/>
        <w:spacing w:before="100" w:after="0"/>
        <w:outlineLvl w:val="1"/>
        <w:rPr>
          <w:rFonts w:eastAsia="Times New Roman"/>
          <w:b/>
          <w:caps/>
          <w:spacing w:val="15"/>
          <w:sz w:val="22"/>
          <w:szCs w:val="22"/>
        </w:rPr>
      </w:pPr>
      <w:r w:rsidRPr="00EC0C92">
        <w:rPr>
          <w:rFonts w:eastAsia="Times New Roman"/>
          <w:b/>
          <w:caps/>
          <w:spacing w:val="15"/>
          <w:sz w:val="22"/>
          <w:szCs w:val="22"/>
        </w:rPr>
        <w:t>CAREERS</w:t>
      </w:r>
    </w:p>
    <w:p w14:paraId="2ABC4E56" w14:textId="77777777" w:rsidR="00EC0C92" w:rsidRPr="00EC0C92" w:rsidRDefault="00EC0C92" w:rsidP="00EC0C92">
      <w:pPr>
        <w:rPr>
          <w:sz w:val="22"/>
          <w:szCs w:val="22"/>
        </w:rPr>
      </w:pPr>
    </w:p>
    <w:p w14:paraId="1515F616" w14:textId="77777777" w:rsidR="00EC0C92" w:rsidRPr="00EC0C92" w:rsidRDefault="00EC0C92" w:rsidP="00EC0C92">
      <w:pPr>
        <w:textAlignment w:val="baseline"/>
        <w:rPr>
          <w:sz w:val="22"/>
          <w:szCs w:val="22"/>
        </w:rPr>
      </w:pPr>
      <w:r w:rsidRPr="00EC0C92">
        <w:rPr>
          <w:sz w:val="22"/>
          <w:szCs w:val="22"/>
        </w:rPr>
        <w:t>Trinity Laban's programmes of study include extensive preparation for a professional career in the performing arts; the </w:t>
      </w:r>
      <w:proofErr w:type="spellStart"/>
      <w:r w:rsidRPr="00EC0C92">
        <w:rPr>
          <w:sz w:val="22"/>
          <w:szCs w:val="22"/>
        </w:rPr>
        <w:t>CertHE</w:t>
      </w:r>
      <w:proofErr w:type="spellEnd"/>
      <w:r w:rsidRPr="00EC0C92">
        <w:rPr>
          <w:sz w:val="22"/>
          <w:szCs w:val="22"/>
        </w:rPr>
        <w:t xml:space="preserve"> programme </w:t>
      </w:r>
      <w:proofErr w:type="gramStart"/>
      <w:r w:rsidRPr="00EC0C92">
        <w:rPr>
          <w:sz w:val="22"/>
          <w:szCs w:val="22"/>
        </w:rPr>
        <w:t>provides an introduction to</w:t>
      </w:r>
      <w:proofErr w:type="gramEnd"/>
      <w:r w:rsidRPr="00EC0C92">
        <w:rPr>
          <w:sz w:val="22"/>
          <w:szCs w:val="22"/>
        </w:rPr>
        <w:t xml:space="preserve"> such vocational training. The career trajectory of an individual student will be (in part) determined by the type of degree programme s/he progresses to on completion of the </w:t>
      </w:r>
      <w:proofErr w:type="spellStart"/>
      <w:r w:rsidRPr="00EC0C92">
        <w:rPr>
          <w:sz w:val="22"/>
          <w:szCs w:val="22"/>
        </w:rPr>
        <w:t>CertHE</w:t>
      </w:r>
      <w:proofErr w:type="spellEnd"/>
      <w:r w:rsidRPr="00EC0C92">
        <w:rPr>
          <w:sz w:val="22"/>
          <w:szCs w:val="22"/>
        </w:rPr>
        <w:t xml:space="preserve"> programme.</w:t>
      </w:r>
    </w:p>
    <w:p w14:paraId="068E705B" w14:textId="77777777" w:rsidR="00EC0C92" w:rsidRPr="00EC0C92" w:rsidRDefault="00EC0C92" w:rsidP="00EC0C92">
      <w:pPr>
        <w:textAlignment w:val="baseline"/>
        <w:rPr>
          <w:sz w:val="22"/>
          <w:szCs w:val="22"/>
        </w:rPr>
      </w:pPr>
      <w:r w:rsidRPr="00EC0C92">
        <w:rPr>
          <w:sz w:val="22"/>
          <w:szCs w:val="22"/>
        </w:rPr>
        <w:t>Through our tutorial system, students receive regular advice from the Programme Leader on their potential next steps and the options available to them for further study, based on their interests and their strengths and weaknesses.  Outside speakers are regularly invited to deliver sessions on a range of careers related topics.   </w:t>
      </w:r>
    </w:p>
    <w:p w14:paraId="2178F5AD" w14:textId="77777777" w:rsidR="00EC0C92" w:rsidRPr="00EC0C92" w:rsidRDefault="00EC0C92" w:rsidP="00EC0C92">
      <w:pPr>
        <w:rPr>
          <w:sz w:val="22"/>
          <w:szCs w:val="22"/>
        </w:rPr>
      </w:pPr>
      <w:r w:rsidRPr="00EC0C92">
        <w:rPr>
          <w:sz w:val="22"/>
          <w:szCs w:val="22"/>
        </w:rPr>
        <w:t>It is anticipated that graduates from this programme will develop their career based on their subject area focus, most choosing to audition for further study on three-year courses. Students from this type of programme have gone on to perform, direct/choreograph, compose, write and to teach in schools, colleges and universities. </w:t>
      </w:r>
    </w:p>
    <w:p w14:paraId="632DF466" w14:textId="77777777" w:rsidR="0082103F" w:rsidRPr="00EC0C92" w:rsidRDefault="0082103F"/>
    <w:sectPr w:rsidR="0082103F" w:rsidRPr="00EC0C92" w:rsidSect="00573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A39F1"/>
    <w:multiLevelType w:val="hybridMultilevel"/>
    <w:tmpl w:val="8B884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326FF3"/>
    <w:multiLevelType w:val="hybridMultilevel"/>
    <w:tmpl w:val="0BDA1B0E"/>
    <w:lvl w:ilvl="0" w:tplc="298E9A20">
      <w:start w:val="1"/>
      <w:numFmt w:val="bullet"/>
      <w:lvlText w:val="•"/>
      <w:lvlJc w:val="left"/>
      <w:pPr>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4598779">
    <w:abstractNumId w:val="0"/>
  </w:num>
  <w:num w:numId="2" w16cid:durableId="49480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92"/>
    <w:rsid w:val="00192CF8"/>
    <w:rsid w:val="003B44F5"/>
    <w:rsid w:val="00573C5A"/>
    <w:rsid w:val="00650EFA"/>
    <w:rsid w:val="00711A43"/>
    <w:rsid w:val="0082103F"/>
    <w:rsid w:val="00A413B0"/>
    <w:rsid w:val="00B9326A"/>
    <w:rsid w:val="00CF6311"/>
    <w:rsid w:val="00EC0C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AD45"/>
  <w15:chartTrackingRefBased/>
  <w15:docId w15:val="{426B32A0-DEE3-42CB-8541-890A0483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92"/>
    <w:pPr>
      <w:spacing w:after="200" w:line="276" w:lineRule="auto"/>
    </w:pPr>
    <w:rPr>
      <w:rFonts w:ascii="Arial" w:hAnsi="Arial" w:cs="Arial"/>
      <w:kern w:val="0"/>
      <w:sz w:val="20"/>
      <w:szCs w:val="20"/>
      <w14:ligatures w14:val="none"/>
    </w:rPr>
  </w:style>
  <w:style w:type="paragraph" w:styleId="Heading1">
    <w:name w:val="heading 1"/>
    <w:basedOn w:val="Normal"/>
    <w:next w:val="Normal"/>
    <w:link w:val="Heading1Char"/>
    <w:uiPriority w:val="9"/>
    <w:qFormat/>
    <w:rsid w:val="00EC0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C92"/>
    <w:rPr>
      <w:rFonts w:eastAsiaTheme="majorEastAsia" w:cstheme="majorBidi"/>
      <w:color w:val="272727" w:themeColor="text1" w:themeTint="D8"/>
    </w:rPr>
  </w:style>
  <w:style w:type="paragraph" w:styleId="Title">
    <w:name w:val="Title"/>
    <w:basedOn w:val="Normal"/>
    <w:next w:val="Normal"/>
    <w:link w:val="TitleChar"/>
    <w:uiPriority w:val="10"/>
    <w:qFormat/>
    <w:rsid w:val="00EC0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C92"/>
    <w:pPr>
      <w:spacing w:before="160"/>
      <w:jc w:val="center"/>
    </w:pPr>
    <w:rPr>
      <w:i/>
      <w:iCs/>
      <w:color w:val="404040" w:themeColor="text1" w:themeTint="BF"/>
    </w:rPr>
  </w:style>
  <w:style w:type="character" w:customStyle="1" w:styleId="QuoteChar">
    <w:name w:val="Quote Char"/>
    <w:basedOn w:val="DefaultParagraphFont"/>
    <w:link w:val="Quote"/>
    <w:uiPriority w:val="29"/>
    <w:rsid w:val="00EC0C92"/>
    <w:rPr>
      <w:i/>
      <w:iCs/>
      <w:color w:val="404040" w:themeColor="text1" w:themeTint="BF"/>
    </w:rPr>
  </w:style>
  <w:style w:type="paragraph" w:styleId="ListParagraph">
    <w:name w:val="List Paragraph"/>
    <w:basedOn w:val="Normal"/>
    <w:uiPriority w:val="34"/>
    <w:qFormat/>
    <w:rsid w:val="00EC0C92"/>
    <w:pPr>
      <w:ind w:left="720"/>
      <w:contextualSpacing/>
    </w:pPr>
  </w:style>
  <w:style w:type="character" w:styleId="IntenseEmphasis">
    <w:name w:val="Intense Emphasis"/>
    <w:basedOn w:val="DefaultParagraphFont"/>
    <w:uiPriority w:val="21"/>
    <w:qFormat/>
    <w:rsid w:val="00EC0C92"/>
    <w:rPr>
      <w:i/>
      <w:iCs/>
      <w:color w:val="0F4761" w:themeColor="accent1" w:themeShade="BF"/>
    </w:rPr>
  </w:style>
  <w:style w:type="paragraph" w:styleId="IntenseQuote">
    <w:name w:val="Intense Quote"/>
    <w:basedOn w:val="Normal"/>
    <w:next w:val="Normal"/>
    <w:link w:val="IntenseQuoteChar"/>
    <w:uiPriority w:val="30"/>
    <w:qFormat/>
    <w:rsid w:val="00EC0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C92"/>
    <w:rPr>
      <w:i/>
      <w:iCs/>
      <w:color w:val="0F4761" w:themeColor="accent1" w:themeShade="BF"/>
    </w:rPr>
  </w:style>
  <w:style w:type="character" w:styleId="IntenseReference">
    <w:name w:val="Intense Reference"/>
    <w:basedOn w:val="DefaultParagraphFont"/>
    <w:uiPriority w:val="32"/>
    <w:qFormat/>
    <w:rsid w:val="00EC0C92"/>
    <w:rPr>
      <w:b/>
      <w:bCs/>
      <w:smallCaps/>
      <w:color w:val="0F4761" w:themeColor="accent1" w:themeShade="BF"/>
      <w:spacing w:val="5"/>
    </w:rPr>
  </w:style>
  <w:style w:type="table" w:styleId="TableGrid">
    <w:name w:val="Table Grid"/>
    <w:basedOn w:val="TableNormal"/>
    <w:uiPriority w:val="39"/>
    <w:rsid w:val="00EC0C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2090</Words>
  <Characters>11915</Characters>
  <Application>Microsoft Office Word</Application>
  <DocSecurity>0</DocSecurity>
  <Lines>99</Lines>
  <Paragraphs>27</Paragraphs>
  <ScaleCrop>false</ScaleCrop>
  <Company>Trinity Laban Conservatoire of Music and Dance</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Wikman Yates</dc:creator>
  <cp:keywords/>
  <dc:description/>
  <cp:lastModifiedBy>Anniina Wikman Yates</cp:lastModifiedBy>
  <cp:revision>3</cp:revision>
  <dcterms:created xsi:type="dcterms:W3CDTF">2024-07-08T15:53:00Z</dcterms:created>
  <dcterms:modified xsi:type="dcterms:W3CDTF">2024-07-09T08:17:00Z</dcterms:modified>
</cp:coreProperties>
</file>