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B9AB" w14:textId="151DF167" w:rsidR="00514BB6" w:rsidRDefault="753DDC51" w:rsidP="7CD83BA4">
      <w:pPr>
        <w:jc w:val="center"/>
        <w:rPr>
          <w:rFonts w:ascii="Kalice" w:hAnsi="Kalice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0782C37" wp14:editId="4B37EF34">
            <wp:extent cx="5943600" cy="400050"/>
            <wp:effectExtent l="0" t="0" r="0" b="0"/>
            <wp:docPr id="928699858" name="Picture 92869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748B1" w14:textId="00625DBC" w:rsidR="7CD83BA4" w:rsidRDefault="7CD83BA4" w:rsidP="7CD83BA4">
      <w:pPr>
        <w:rPr>
          <w:rFonts w:ascii="Kalice" w:hAnsi="Kalice"/>
          <w:b/>
          <w:bCs/>
          <w:sz w:val="40"/>
          <w:szCs w:val="40"/>
        </w:rPr>
      </w:pPr>
    </w:p>
    <w:p w14:paraId="192EEC77" w14:textId="2011D30E" w:rsidR="007C2CDF" w:rsidRPr="000A4ECE" w:rsidRDefault="007C2CDF" w:rsidP="007C2CDF">
      <w:pPr>
        <w:rPr>
          <w:rFonts w:ascii="Kalice" w:hAnsi="Kalice"/>
          <w:b/>
          <w:sz w:val="40"/>
          <w:szCs w:val="40"/>
        </w:rPr>
      </w:pPr>
      <w:r w:rsidRPr="000A4ECE">
        <w:rPr>
          <w:rFonts w:ascii="Kalice" w:hAnsi="Kalice"/>
          <w:b/>
          <w:sz w:val="40"/>
          <w:szCs w:val="40"/>
        </w:rPr>
        <w:t>ANNUAL PROGRAMME EVALUATION REPORT</w:t>
      </w:r>
    </w:p>
    <w:p w14:paraId="383252F2" w14:textId="6CB41276" w:rsidR="007C2CDF" w:rsidRPr="000A4ECE" w:rsidRDefault="009247D8" w:rsidP="007C2CDF">
      <w:pPr>
        <w:rPr>
          <w:rFonts w:ascii="Kalice" w:hAnsi="Kalice"/>
          <w:b/>
          <w:sz w:val="40"/>
          <w:szCs w:val="40"/>
        </w:rPr>
      </w:pPr>
      <w:r w:rsidRPr="000A4ECE">
        <w:rPr>
          <w:rFonts w:ascii="Kalice" w:hAnsi="Kalice"/>
          <w:b/>
          <w:sz w:val="40"/>
          <w:szCs w:val="40"/>
        </w:rPr>
        <w:t xml:space="preserve">Reflecting on Academic Year </w:t>
      </w:r>
      <w:r w:rsidR="00682775" w:rsidRPr="000A4ECE">
        <w:rPr>
          <w:rFonts w:ascii="Kalice" w:hAnsi="Kalice"/>
          <w:b/>
          <w:sz w:val="40"/>
          <w:szCs w:val="40"/>
        </w:rPr>
        <w:t>_</w:t>
      </w:r>
      <w:r w:rsidR="00872270">
        <w:rPr>
          <w:rFonts w:ascii="Kalice" w:hAnsi="Kalice"/>
          <w:b/>
          <w:sz w:val="40"/>
          <w:szCs w:val="40"/>
        </w:rPr>
        <w:t>____________</w:t>
      </w:r>
      <w:r w:rsidR="00682775" w:rsidRPr="000A4ECE">
        <w:rPr>
          <w:rFonts w:ascii="Kalice" w:hAnsi="Kalice"/>
          <w:b/>
          <w:sz w:val="40"/>
          <w:szCs w:val="40"/>
        </w:rPr>
        <w:t>______</w:t>
      </w:r>
    </w:p>
    <w:p w14:paraId="65A6871D" w14:textId="77777777" w:rsidR="003A3100" w:rsidRDefault="003A3100" w:rsidP="007C2CDF">
      <w:pPr>
        <w:rPr>
          <w:rFonts w:ascii="Kalice" w:hAnsi="Kalice"/>
          <w:b/>
          <w:sz w:val="32"/>
          <w:szCs w:val="24"/>
        </w:rPr>
      </w:pPr>
    </w:p>
    <w:p w14:paraId="7DA4CCDA" w14:textId="1811B0AA" w:rsidR="007C2CDF" w:rsidRPr="003A3100" w:rsidRDefault="00FD48F7" w:rsidP="007C2CDF">
      <w:pPr>
        <w:rPr>
          <w:rFonts w:ascii="Kalice" w:hAnsi="Kalice"/>
          <w:b/>
          <w:sz w:val="32"/>
          <w:szCs w:val="24"/>
        </w:rPr>
      </w:pPr>
      <w:proofErr w:type="spellStart"/>
      <w:r w:rsidRPr="003A3100">
        <w:rPr>
          <w:rFonts w:ascii="Kalice" w:hAnsi="Kalice"/>
          <w:b/>
          <w:sz w:val="32"/>
          <w:szCs w:val="24"/>
        </w:rPr>
        <w:t>Programme</w:t>
      </w:r>
      <w:proofErr w:type="spellEnd"/>
      <w:r w:rsidRPr="003A3100">
        <w:rPr>
          <w:rFonts w:ascii="Kalice" w:hAnsi="Kalice"/>
          <w:b/>
          <w:sz w:val="32"/>
          <w:szCs w:val="24"/>
        </w:rPr>
        <w:t xml:space="preserve"> </w:t>
      </w:r>
      <w:r w:rsidR="003A3100" w:rsidRPr="003A3100">
        <w:rPr>
          <w:rFonts w:ascii="Kalice" w:hAnsi="Kalice"/>
          <w:b/>
          <w:sz w:val="32"/>
          <w:szCs w:val="24"/>
        </w:rPr>
        <w:t>name</w:t>
      </w:r>
      <w:r w:rsidR="003A3100">
        <w:rPr>
          <w:rFonts w:ascii="Kalice" w:hAnsi="Kalice"/>
          <w:b/>
          <w:sz w:val="32"/>
          <w:szCs w:val="24"/>
        </w:rPr>
        <w:t>(s)</w:t>
      </w:r>
      <w:r w:rsidR="003A3100" w:rsidRPr="003A3100">
        <w:rPr>
          <w:rFonts w:ascii="Kalice" w:hAnsi="Kalice"/>
          <w:b/>
          <w:sz w:val="32"/>
          <w:szCs w:val="24"/>
        </w:rPr>
        <w:t>:</w:t>
      </w:r>
      <w:r w:rsidR="003A3100">
        <w:rPr>
          <w:rFonts w:ascii="Kalice" w:hAnsi="Kalice"/>
          <w:b/>
          <w:sz w:val="32"/>
          <w:szCs w:val="24"/>
        </w:rPr>
        <w:t xml:space="preserve"> _________________________________</w:t>
      </w:r>
    </w:p>
    <w:p w14:paraId="716F05C0" w14:textId="77777777" w:rsidR="007C2CDF" w:rsidRDefault="00CB2DD4" w:rsidP="00CB2DD4">
      <w:pPr>
        <w:spacing w:before="120"/>
        <w:rPr>
          <w:rFonts w:ascii="Noto Sans" w:hAnsi="Noto Sans" w:cs="Noto Sans"/>
          <w:i/>
          <w:iCs/>
          <w:sz w:val="20"/>
          <w:szCs w:val="20"/>
        </w:rPr>
      </w:pPr>
      <w:proofErr w:type="spellStart"/>
      <w:r w:rsidRPr="00F92A22">
        <w:rPr>
          <w:rFonts w:ascii="Noto Sans" w:hAnsi="Noto Sans" w:cs="Noto Sans"/>
          <w:i/>
          <w:iCs/>
          <w:sz w:val="20"/>
          <w:szCs w:val="20"/>
        </w:rPr>
        <w:t>Programmes</w:t>
      </w:r>
      <w:proofErr w:type="spellEnd"/>
      <w:r w:rsidRPr="00F92A22">
        <w:rPr>
          <w:rFonts w:ascii="Noto Sans" w:hAnsi="Noto Sans" w:cs="Noto Sans"/>
          <w:i/>
          <w:iCs/>
          <w:sz w:val="20"/>
          <w:szCs w:val="20"/>
        </w:rPr>
        <w:t xml:space="preserve"> that share a significant amount of content</w:t>
      </w:r>
      <w:r w:rsidR="005C4AC9" w:rsidRPr="00F92A22">
        <w:rPr>
          <w:rFonts w:ascii="Noto Sans" w:hAnsi="Noto Sans" w:cs="Noto Sans"/>
          <w:i/>
          <w:iCs/>
          <w:sz w:val="20"/>
          <w:szCs w:val="20"/>
        </w:rPr>
        <w:t xml:space="preserve"> may be included in a single report.</w:t>
      </w:r>
    </w:p>
    <w:p w14:paraId="10FDA3CF" w14:textId="6B2409CC" w:rsidR="0091131D" w:rsidRPr="0091131D" w:rsidRDefault="0091131D" w:rsidP="00CB2DD4">
      <w:pPr>
        <w:spacing w:before="120"/>
        <w:rPr>
          <w:rFonts w:ascii="Kalice" w:hAnsi="Kalice" w:cs="Noto Sans"/>
          <w:b/>
          <w:bCs/>
          <w:sz w:val="32"/>
          <w:szCs w:val="32"/>
        </w:rPr>
      </w:pPr>
      <w:proofErr w:type="spellStart"/>
      <w:r w:rsidRPr="0091131D">
        <w:rPr>
          <w:rFonts w:ascii="Kalice" w:hAnsi="Kalice" w:cs="Noto Sans"/>
          <w:b/>
          <w:bCs/>
          <w:sz w:val="32"/>
          <w:szCs w:val="32"/>
        </w:rPr>
        <w:t>Programme</w:t>
      </w:r>
      <w:proofErr w:type="spellEnd"/>
      <w:r w:rsidRPr="0091131D">
        <w:rPr>
          <w:rFonts w:ascii="Kalice" w:hAnsi="Kalice" w:cs="Noto Sans"/>
          <w:b/>
          <w:bCs/>
          <w:sz w:val="32"/>
          <w:szCs w:val="32"/>
        </w:rPr>
        <w:t xml:space="preserve"> Leader: ____________________________________</w:t>
      </w:r>
    </w:p>
    <w:p w14:paraId="4B3C8139" w14:textId="77777777" w:rsidR="005C4AC9" w:rsidRPr="00180301" w:rsidRDefault="005C4AC9" w:rsidP="00CB2DD4">
      <w:pPr>
        <w:spacing w:before="120"/>
        <w:rPr>
          <w:rFonts w:ascii="Arial" w:hAnsi="Arial" w:cs="Arial"/>
          <w:i/>
          <w:iCs/>
          <w:sz w:val="20"/>
          <w:szCs w:val="20"/>
        </w:rPr>
      </w:pPr>
    </w:p>
    <w:p w14:paraId="723DD90A" w14:textId="77777777" w:rsidR="00E9474C" w:rsidRPr="00180301" w:rsidRDefault="00E9474C" w:rsidP="004A5501">
      <w:pPr>
        <w:spacing w:before="120"/>
        <w:rPr>
          <w:rFonts w:ascii="Noto Sans" w:hAnsi="Noto Sans" w:cs="Noto Sans"/>
          <w:b/>
          <w:bCs/>
          <w:i/>
          <w:iCs/>
        </w:rPr>
      </w:pPr>
    </w:p>
    <w:p w14:paraId="56914433" w14:textId="77777777" w:rsidR="00E9474C" w:rsidRPr="00180301" w:rsidRDefault="00E9474C" w:rsidP="004A5501">
      <w:pPr>
        <w:spacing w:before="120"/>
        <w:rPr>
          <w:rFonts w:ascii="Noto Sans" w:hAnsi="Noto Sans" w:cs="Noto Sans"/>
          <w:b/>
          <w:bCs/>
          <w:i/>
          <w:iCs/>
        </w:rPr>
      </w:pPr>
    </w:p>
    <w:p w14:paraId="0692E6D5" w14:textId="49BC4433" w:rsidR="00B57BAD" w:rsidRPr="00180301" w:rsidRDefault="003737F3" w:rsidP="004A5501">
      <w:pPr>
        <w:spacing w:before="120"/>
        <w:rPr>
          <w:rFonts w:ascii="Noto Sans" w:hAnsi="Noto Sans" w:cs="Noto Sans"/>
          <w:b/>
          <w:bCs/>
          <w:i/>
          <w:iCs/>
        </w:rPr>
      </w:pPr>
      <w:r w:rsidRPr="00180301">
        <w:rPr>
          <w:rFonts w:ascii="Noto Sans" w:hAnsi="Noto Sans" w:cs="Noto Sans"/>
          <w:b/>
          <w:bCs/>
          <w:i/>
          <w:iCs/>
        </w:rPr>
        <w:t>Guidance</w:t>
      </w:r>
    </w:p>
    <w:p w14:paraId="699FCB59" w14:textId="1018FE3A" w:rsidR="003737F3" w:rsidRPr="00180301" w:rsidRDefault="003737F3" w:rsidP="003737F3">
      <w:pPr>
        <w:pStyle w:val="ListParagraph"/>
        <w:numPr>
          <w:ilvl w:val="0"/>
          <w:numId w:val="32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 xml:space="preserve">The Annual </w:t>
      </w:r>
      <w:proofErr w:type="spellStart"/>
      <w:r w:rsidRPr="00180301">
        <w:rPr>
          <w:rFonts w:ascii="Noto Sans" w:hAnsi="Noto Sans" w:cs="Noto Sans"/>
          <w:i/>
          <w:iCs/>
        </w:rPr>
        <w:t>Programme</w:t>
      </w:r>
      <w:proofErr w:type="spellEnd"/>
      <w:r w:rsidRPr="00180301">
        <w:rPr>
          <w:rFonts w:ascii="Noto Sans" w:hAnsi="Noto Sans" w:cs="Noto Sans"/>
          <w:i/>
          <w:iCs/>
        </w:rPr>
        <w:t xml:space="preserve"> Evaluation template consists of two </w:t>
      </w:r>
      <w:r w:rsidR="007A1AC1" w:rsidRPr="00180301">
        <w:rPr>
          <w:rFonts w:ascii="Noto Sans" w:hAnsi="Noto Sans" w:cs="Noto Sans"/>
          <w:i/>
          <w:iCs/>
        </w:rPr>
        <w:t>sections</w:t>
      </w:r>
      <w:r w:rsidRPr="00180301">
        <w:rPr>
          <w:rFonts w:ascii="Noto Sans" w:hAnsi="Noto Sans" w:cs="Noto Sans"/>
          <w:i/>
          <w:iCs/>
        </w:rPr>
        <w:t>:</w:t>
      </w:r>
    </w:p>
    <w:p w14:paraId="6C6B7DFF" w14:textId="5C5B4180" w:rsidR="003737F3" w:rsidRPr="00180301" w:rsidRDefault="007A1AC1" w:rsidP="003737F3">
      <w:pPr>
        <w:pStyle w:val="ListParagraph"/>
        <w:numPr>
          <w:ilvl w:val="0"/>
          <w:numId w:val="33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>General themes</w:t>
      </w:r>
    </w:p>
    <w:p w14:paraId="6BEA7DAA" w14:textId="45506DDF" w:rsidR="007A1AC1" w:rsidRPr="00180301" w:rsidRDefault="007A1AC1" w:rsidP="007A1AC1">
      <w:pPr>
        <w:pStyle w:val="ListParagraph"/>
        <w:numPr>
          <w:ilvl w:val="0"/>
          <w:numId w:val="33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>Focus themes</w:t>
      </w:r>
    </w:p>
    <w:p w14:paraId="793F9F87" w14:textId="783FF1D5" w:rsidR="007A1AC1" w:rsidRPr="00180301" w:rsidRDefault="007A1AC1" w:rsidP="007A1AC1">
      <w:pPr>
        <w:pStyle w:val="ListParagraph"/>
        <w:numPr>
          <w:ilvl w:val="0"/>
          <w:numId w:val="32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 xml:space="preserve">Section A on </w:t>
      </w:r>
      <w:r w:rsidR="009B0323" w:rsidRPr="00180301">
        <w:rPr>
          <w:rFonts w:ascii="Noto Sans" w:hAnsi="Noto Sans" w:cs="Noto Sans"/>
          <w:i/>
          <w:iCs/>
        </w:rPr>
        <w:t>Institutional</w:t>
      </w:r>
      <w:r w:rsidRPr="00180301">
        <w:rPr>
          <w:rFonts w:ascii="Noto Sans" w:hAnsi="Noto Sans" w:cs="Noto Sans"/>
          <w:i/>
          <w:iCs/>
        </w:rPr>
        <w:t xml:space="preserve"> themes </w:t>
      </w:r>
      <w:r w:rsidR="00527486" w:rsidRPr="00180301">
        <w:rPr>
          <w:rFonts w:ascii="Noto Sans" w:hAnsi="Noto Sans" w:cs="Noto Sans"/>
          <w:i/>
          <w:iCs/>
        </w:rPr>
        <w:t>should be</w:t>
      </w:r>
      <w:r w:rsidRPr="00180301">
        <w:rPr>
          <w:rFonts w:ascii="Noto Sans" w:hAnsi="Noto Sans" w:cs="Noto Sans"/>
          <w:i/>
          <w:iCs/>
        </w:rPr>
        <w:t xml:space="preserve"> completed every year for each </w:t>
      </w:r>
      <w:proofErr w:type="spellStart"/>
      <w:r w:rsidRPr="00180301">
        <w:rPr>
          <w:rFonts w:ascii="Noto Sans" w:hAnsi="Noto Sans" w:cs="Noto Sans"/>
          <w:i/>
          <w:iCs/>
        </w:rPr>
        <w:t>programme</w:t>
      </w:r>
      <w:proofErr w:type="spellEnd"/>
      <w:r w:rsidRPr="00180301">
        <w:rPr>
          <w:rFonts w:ascii="Noto Sans" w:hAnsi="Noto Sans" w:cs="Noto Sans"/>
          <w:i/>
          <w:iCs/>
        </w:rPr>
        <w:t xml:space="preserve"> </w:t>
      </w:r>
    </w:p>
    <w:p w14:paraId="05FD0129" w14:textId="0E7F3C91" w:rsidR="003D6A2B" w:rsidRPr="00180301" w:rsidRDefault="003D6A2B" w:rsidP="007A1AC1">
      <w:pPr>
        <w:pStyle w:val="ListParagraph"/>
        <w:numPr>
          <w:ilvl w:val="0"/>
          <w:numId w:val="32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 xml:space="preserve">Section B on Focus themes includes areas that are specific to the </w:t>
      </w:r>
      <w:proofErr w:type="spellStart"/>
      <w:r w:rsidRPr="00180301">
        <w:rPr>
          <w:rFonts w:ascii="Noto Sans" w:hAnsi="Noto Sans" w:cs="Noto Sans"/>
          <w:i/>
          <w:iCs/>
        </w:rPr>
        <w:t>programme</w:t>
      </w:r>
      <w:proofErr w:type="spellEnd"/>
      <w:r w:rsidRPr="00180301">
        <w:rPr>
          <w:rFonts w:ascii="Noto Sans" w:hAnsi="Noto Sans" w:cs="Noto Sans"/>
          <w:i/>
          <w:iCs/>
        </w:rPr>
        <w:t xml:space="preserve"> based on the </w:t>
      </w:r>
      <w:r w:rsidR="009B7F4F" w:rsidRPr="00180301">
        <w:rPr>
          <w:rFonts w:ascii="Noto Sans" w:hAnsi="Noto Sans" w:cs="Noto Sans"/>
          <w:i/>
          <w:iCs/>
        </w:rPr>
        <w:t xml:space="preserve">mapping of the </w:t>
      </w:r>
      <w:proofErr w:type="spellStart"/>
      <w:r w:rsidR="009B7F4F" w:rsidRPr="00180301">
        <w:rPr>
          <w:rFonts w:ascii="Noto Sans" w:hAnsi="Noto Sans" w:cs="Noto Sans"/>
          <w:i/>
          <w:iCs/>
        </w:rPr>
        <w:t>programme</w:t>
      </w:r>
      <w:proofErr w:type="spellEnd"/>
      <w:r w:rsidR="009B7F4F" w:rsidRPr="00180301">
        <w:rPr>
          <w:rFonts w:ascii="Noto Sans" w:hAnsi="Noto Sans" w:cs="Noto Sans"/>
          <w:i/>
          <w:iCs/>
        </w:rPr>
        <w:t xml:space="preserve"> data to a set of metrics and benchmarks set by the Academic Standards and Quality Board (ASQB) every year. </w:t>
      </w:r>
      <w:proofErr w:type="spellStart"/>
      <w:r w:rsidR="009B7F4F" w:rsidRPr="00180301">
        <w:rPr>
          <w:rFonts w:ascii="Noto Sans" w:hAnsi="Noto Sans" w:cs="Noto Sans"/>
          <w:i/>
          <w:iCs/>
        </w:rPr>
        <w:t>Programmes</w:t>
      </w:r>
      <w:proofErr w:type="spellEnd"/>
      <w:r w:rsidR="009B7F4F" w:rsidRPr="00180301">
        <w:rPr>
          <w:rFonts w:ascii="Noto Sans" w:hAnsi="Noto Sans" w:cs="Noto Sans"/>
          <w:i/>
          <w:iCs/>
        </w:rPr>
        <w:t xml:space="preserve"> that meet or exceed a benchmark do not </w:t>
      </w:r>
      <w:r w:rsidR="004C28B0" w:rsidRPr="00180301">
        <w:rPr>
          <w:rFonts w:ascii="Noto Sans" w:hAnsi="Noto Sans" w:cs="Noto Sans"/>
          <w:i/>
          <w:iCs/>
        </w:rPr>
        <w:t xml:space="preserve">need to provide further annual analysis on those areas. This </w:t>
      </w:r>
      <w:r w:rsidR="00AF5715" w:rsidRPr="00180301">
        <w:rPr>
          <w:rFonts w:ascii="Noto Sans" w:hAnsi="Noto Sans" w:cs="Noto Sans"/>
          <w:i/>
          <w:iCs/>
        </w:rPr>
        <w:t xml:space="preserve">section </w:t>
      </w:r>
      <w:r w:rsidR="004C28B0" w:rsidRPr="00180301">
        <w:rPr>
          <w:rFonts w:ascii="Noto Sans" w:hAnsi="Noto Sans" w:cs="Noto Sans"/>
          <w:i/>
          <w:iCs/>
        </w:rPr>
        <w:t xml:space="preserve">only includes the areas where the </w:t>
      </w:r>
      <w:proofErr w:type="spellStart"/>
      <w:r w:rsidR="004C28B0" w:rsidRPr="00180301">
        <w:rPr>
          <w:rFonts w:ascii="Noto Sans" w:hAnsi="Noto Sans" w:cs="Noto Sans"/>
          <w:i/>
          <w:iCs/>
        </w:rPr>
        <w:t>programme</w:t>
      </w:r>
      <w:proofErr w:type="spellEnd"/>
      <w:r w:rsidR="004C28B0" w:rsidRPr="00180301">
        <w:rPr>
          <w:rFonts w:ascii="Noto Sans" w:hAnsi="Noto Sans" w:cs="Noto Sans"/>
          <w:i/>
          <w:iCs/>
        </w:rPr>
        <w:t xml:space="preserve"> data does not</w:t>
      </w:r>
      <w:r w:rsidR="00AF5715" w:rsidRPr="00180301">
        <w:rPr>
          <w:rFonts w:ascii="Noto Sans" w:hAnsi="Noto Sans" w:cs="Noto Sans"/>
          <w:i/>
          <w:iCs/>
        </w:rPr>
        <w:t xml:space="preserve"> meet the benchmark. </w:t>
      </w:r>
      <w:r w:rsidR="004C28B0" w:rsidRPr="00180301">
        <w:rPr>
          <w:rFonts w:ascii="Noto Sans" w:hAnsi="Noto Sans" w:cs="Noto Sans"/>
          <w:i/>
          <w:iCs/>
        </w:rPr>
        <w:t xml:space="preserve"> </w:t>
      </w:r>
    </w:p>
    <w:p w14:paraId="2A1D44B1" w14:textId="42F4B321" w:rsidR="00AF5715" w:rsidRPr="00180301" w:rsidRDefault="00AF5715" w:rsidP="007A1AC1">
      <w:pPr>
        <w:pStyle w:val="ListParagraph"/>
        <w:numPr>
          <w:ilvl w:val="0"/>
          <w:numId w:val="32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 xml:space="preserve">The </w:t>
      </w:r>
      <w:r w:rsidR="00527486" w:rsidRPr="00180301">
        <w:rPr>
          <w:rFonts w:ascii="Noto Sans" w:hAnsi="Noto Sans" w:cs="Noto Sans"/>
          <w:i/>
          <w:iCs/>
        </w:rPr>
        <w:t xml:space="preserve">metrics and benchmarks </w:t>
      </w:r>
      <w:r w:rsidR="009D6C0C" w:rsidRPr="00180301">
        <w:rPr>
          <w:rFonts w:ascii="Noto Sans" w:hAnsi="Noto Sans" w:cs="Noto Sans"/>
          <w:i/>
          <w:iCs/>
        </w:rPr>
        <w:t xml:space="preserve">as well as </w:t>
      </w:r>
      <w:r w:rsidRPr="00180301">
        <w:rPr>
          <w:rFonts w:ascii="Noto Sans" w:hAnsi="Noto Sans" w:cs="Noto Sans"/>
          <w:i/>
          <w:iCs/>
        </w:rPr>
        <w:t>datasets used by the Quality &amp; Governance team</w:t>
      </w:r>
      <w:r w:rsidR="009D6C0C" w:rsidRPr="00180301">
        <w:rPr>
          <w:rFonts w:ascii="Noto Sans" w:hAnsi="Noto Sans" w:cs="Noto Sans"/>
          <w:i/>
          <w:iCs/>
        </w:rPr>
        <w:t xml:space="preserve"> for mapping against the metrics</w:t>
      </w:r>
      <w:r w:rsidRPr="00180301">
        <w:rPr>
          <w:rFonts w:ascii="Noto Sans" w:hAnsi="Noto Sans" w:cs="Noto Sans"/>
          <w:i/>
          <w:iCs/>
        </w:rPr>
        <w:t xml:space="preserve"> </w:t>
      </w:r>
      <w:r w:rsidR="002B27E4" w:rsidRPr="00180301">
        <w:rPr>
          <w:rFonts w:ascii="Noto Sans" w:hAnsi="Noto Sans" w:cs="Noto Sans"/>
          <w:i/>
          <w:iCs/>
        </w:rPr>
        <w:t xml:space="preserve">are available for reference on the Intranet here: </w:t>
      </w:r>
      <w:hyperlink r:id="rId9" w:history="1">
        <w:r w:rsidR="00884D63" w:rsidRPr="00180301">
          <w:rPr>
            <w:rStyle w:val="Hyperlink"/>
            <w:rFonts w:ascii="Noto Sans" w:hAnsi="Noto Sans" w:cs="Noto Sans"/>
            <w:i/>
            <w:iCs/>
          </w:rPr>
          <w:t xml:space="preserve">Annual </w:t>
        </w:r>
        <w:proofErr w:type="spellStart"/>
        <w:r w:rsidR="00884D63" w:rsidRPr="00180301">
          <w:rPr>
            <w:rStyle w:val="Hyperlink"/>
            <w:rFonts w:ascii="Noto Sans" w:hAnsi="Noto Sans" w:cs="Noto Sans"/>
            <w:i/>
            <w:iCs/>
          </w:rPr>
          <w:t>Programme</w:t>
        </w:r>
        <w:proofErr w:type="spellEnd"/>
        <w:r w:rsidR="00884D63" w:rsidRPr="00180301">
          <w:rPr>
            <w:rStyle w:val="Hyperlink"/>
            <w:rFonts w:ascii="Noto Sans" w:hAnsi="Noto Sans" w:cs="Noto Sans"/>
            <w:i/>
            <w:iCs/>
          </w:rPr>
          <w:t xml:space="preserve"> Evaluate (APE) Data</w:t>
        </w:r>
      </w:hyperlink>
    </w:p>
    <w:p w14:paraId="0506B151" w14:textId="5B58E943" w:rsidR="00884D63" w:rsidRPr="00180301" w:rsidRDefault="00884D63" w:rsidP="007A1AC1">
      <w:pPr>
        <w:pStyle w:val="ListParagraph"/>
        <w:numPr>
          <w:ilvl w:val="0"/>
          <w:numId w:val="32"/>
        </w:numPr>
        <w:spacing w:before="120"/>
        <w:rPr>
          <w:rFonts w:ascii="Noto Sans" w:hAnsi="Noto Sans" w:cs="Noto Sans"/>
          <w:i/>
          <w:iCs/>
        </w:rPr>
      </w:pPr>
      <w:r w:rsidRPr="00180301">
        <w:rPr>
          <w:rFonts w:ascii="Noto Sans" w:hAnsi="Noto Sans" w:cs="Noto Sans"/>
          <w:i/>
          <w:iCs/>
        </w:rPr>
        <w:t>Any actions identified as part of the</w:t>
      </w:r>
      <w:r w:rsidR="00527486" w:rsidRPr="00180301">
        <w:rPr>
          <w:rFonts w:ascii="Noto Sans" w:hAnsi="Noto Sans" w:cs="Noto Sans"/>
          <w:i/>
          <w:iCs/>
        </w:rPr>
        <w:t xml:space="preserve"> Annual</w:t>
      </w:r>
      <w:r w:rsidRPr="00180301">
        <w:rPr>
          <w:rFonts w:ascii="Noto Sans" w:hAnsi="Noto Sans" w:cs="Noto Sans"/>
          <w:i/>
          <w:iCs/>
        </w:rPr>
        <w:t xml:space="preserve"> </w:t>
      </w:r>
      <w:proofErr w:type="spellStart"/>
      <w:r w:rsidRPr="00180301">
        <w:rPr>
          <w:rFonts w:ascii="Noto Sans" w:hAnsi="Noto Sans" w:cs="Noto Sans"/>
          <w:i/>
          <w:iCs/>
        </w:rPr>
        <w:t>Programme</w:t>
      </w:r>
      <w:proofErr w:type="spellEnd"/>
      <w:r w:rsidRPr="00180301">
        <w:rPr>
          <w:rFonts w:ascii="Noto Sans" w:hAnsi="Noto Sans" w:cs="Noto Sans"/>
          <w:i/>
          <w:iCs/>
        </w:rPr>
        <w:t xml:space="preserve"> Evaluation </w:t>
      </w:r>
      <w:r w:rsidR="00527486" w:rsidRPr="00180301">
        <w:rPr>
          <w:rFonts w:ascii="Noto Sans" w:hAnsi="Noto Sans" w:cs="Noto Sans"/>
          <w:i/>
          <w:iCs/>
        </w:rPr>
        <w:t xml:space="preserve">exercise must be included in the </w:t>
      </w:r>
      <w:proofErr w:type="spellStart"/>
      <w:r w:rsidR="00527486" w:rsidRPr="00180301">
        <w:rPr>
          <w:rFonts w:ascii="Noto Sans" w:hAnsi="Noto Sans" w:cs="Noto Sans"/>
          <w:i/>
          <w:iCs/>
        </w:rPr>
        <w:t>Programme</w:t>
      </w:r>
      <w:proofErr w:type="spellEnd"/>
      <w:r w:rsidR="00527486" w:rsidRPr="00180301">
        <w:rPr>
          <w:rFonts w:ascii="Noto Sans" w:hAnsi="Noto Sans" w:cs="Noto Sans"/>
          <w:i/>
          <w:iCs/>
        </w:rPr>
        <w:t xml:space="preserve"> Action Plan that is submitted to every Quality Committee.</w:t>
      </w:r>
    </w:p>
    <w:p w14:paraId="17CE583B" w14:textId="77777777" w:rsidR="00E33AD0" w:rsidRDefault="00E33AD0" w:rsidP="007C2CDF">
      <w:pPr>
        <w:rPr>
          <w:rFonts w:ascii="Arial" w:hAnsi="Arial" w:cs="Arial"/>
          <w:sz w:val="20"/>
          <w:szCs w:val="20"/>
        </w:rPr>
      </w:pPr>
    </w:p>
    <w:p w14:paraId="197B820F" w14:textId="77777777" w:rsidR="00C97E4E" w:rsidRDefault="00C97E4E" w:rsidP="007C2CDF">
      <w:pPr>
        <w:rPr>
          <w:rFonts w:ascii="Arial" w:hAnsi="Arial" w:cs="Arial"/>
          <w:sz w:val="20"/>
          <w:szCs w:val="20"/>
        </w:rPr>
      </w:pPr>
    </w:p>
    <w:p w14:paraId="5F7B90C0" w14:textId="77777777" w:rsidR="00A0471F" w:rsidRDefault="00A0471F" w:rsidP="007C2CDF">
      <w:pPr>
        <w:rPr>
          <w:rFonts w:ascii="Arial" w:hAnsi="Arial" w:cs="Arial"/>
          <w:sz w:val="20"/>
          <w:szCs w:val="20"/>
        </w:rPr>
      </w:pPr>
    </w:p>
    <w:p w14:paraId="2A1F0ADD" w14:textId="1C0D819B" w:rsidR="00C97E4E" w:rsidRPr="00826A59" w:rsidRDefault="009B0323" w:rsidP="007C2CDF">
      <w:pPr>
        <w:pStyle w:val="ListParagraph"/>
        <w:numPr>
          <w:ilvl w:val="0"/>
          <w:numId w:val="34"/>
        </w:numPr>
        <w:rPr>
          <w:rFonts w:ascii="Kalice" w:hAnsi="Kalice" w:cs="Noto Sans"/>
          <w:b/>
          <w:bCs/>
          <w:sz w:val="30"/>
          <w:szCs w:val="36"/>
        </w:rPr>
      </w:pPr>
      <w:r w:rsidRPr="009B0323">
        <w:rPr>
          <w:rFonts w:ascii="Kalice" w:hAnsi="Kalice" w:cs="Noto Sans"/>
          <w:b/>
          <w:bCs/>
          <w:sz w:val="30"/>
          <w:szCs w:val="36"/>
        </w:rPr>
        <w:lastRenderedPageBreak/>
        <w:t>INSTITUTIONAL THEMES</w:t>
      </w:r>
    </w:p>
    <w:p w14:paraId="32047233" w14:textId="44814FEE" w:rsidR="00392EAA" w:rsidRPr="00026C0E" w:rsidRDefault="00EE305B" w:rsidP="004A5501">
      <w:pPr>
        <w:pStyle w:val="Heading1"/>
        <w:numPr>
          <w:ilvl w:val="0"/>
          <w:numId w:val="31"/>
        </w:numPr>
        <w:spacing w:after="240"/>
        <w:contextualSpacing w:val="0"/>
        <w:rPr>
          <w:rFonts w:ascii="Kalice" w:hAnsi="Kalice"/>
          <w:sz w:val="30"/>
          <w:szCs w:val="28"/>
        </w:rPr>
      </w:pPr>
      <w:proofErr w:type="spellStart"/>
      <w:r>
        <w:rPr>
          <w:rFonts w:ascii="Kalice" w:hAnsi="Kalice"/>
          <w:sz w:val="30"/>
          <w:szCs w:val="28"/>
        </w:rPr>
        <w:t>Programme</w:t>
      </w:r>
      <w:proofErr w:type="spellEnd"/>
      <w:r>
        <w:rPr>
          <w:rFonts w:ascii="Kalice" w:hAnsi="Kalice"/>
          <w:sz w:val="30"/>
          <w:szCs w:val="28"/>
        </w:rPr>
        <w:t xml:space="preserve"> Forums and </w:t>
      </w:r>
      <w:proofErr w:type="spellStart"/>
      <w:r>
        <w:rPr>
          <w:rFonts w:ascii="Kalice" w:hAnsi="Kalice"/>
          <w:sz w:val="30"/>
          <w:szCs w:val="28"/>
        </w:rPr>
        <w:t>Programme</w:t>
      </w:r>
      <w:proofErr w:type="spellEnd"/>
      <w:r>
        <w:rPr>
          <w:rFonts w:ascii="Kalice" w:hAnsi="Kalice"/>
          <w:sz w:val="30"/>
          <w:szCs w:val="28"/>
        </w:rPr>
        <w:t xml:space="preserve"> Action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AD0" w14:paraId="243D3A25" w14:textId="77777777" w:rsidTr="6A3EB50F">
        <w:trPr>
          <w:trHeight w:val="720"/>
        </w:trPr>
        <w:tc>
          <w:tcPr>
            <w:tcW w:w="9350" w:type="dxa"/>
            <w:shd w:val="clear" w:color="auto" w:fill="FBE4D5" w:themeFill="accent2" w:themeFillTint="33"/>
          </w:tcPr>
          <w:p w14:paraId="6792C316" w14:textId="77777777" w:rsidR="00D06978" w:rsidRPr="009C29C8" w:rsidRDefault="00EE305B" w:rsidP="00622245">
            <w:p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Please reflect on the operation of the </w:t>
            </w:r>
            <w:proofErr w:type="spellStart"/>
            <w:r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 Forums and </w:t>
            </w:r>
            <w:proofErr w:type="spellStart"/>
            <w:r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 Action Plans during the previous year.</w:t>
            </w:r>
          </w:p>
          <w:p w14:paraId="2D5F6CD2" w14:textId="700B9B48" w:rsidR="00B4454A" w:rsidRPr="009C29C8" w:rsidRDefault="00B4454A" w:rsidP="00B4454A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What were the arrangements for the </w:t>
            </w:r>
            <w:proofErr w:type="spellStart"/>
            <w:r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826A59" w:rsidRPr="009C29C8">
              <w:rPr>
                <w:rFonts w:ascii="Noto Sans" w:hAnsi="Noto Sans" w:cs="Noto Sans"/>
                <w:sz w:val="20"/>
                <w:szCs w:val="20"/>
              </w:rPr>
              <w:t xml:space="preserve">Forums on the </w:t>
            </w:r>
            <w:proofErr w:type="spellStart"/>
            <w:r w:rsidR="00826A59"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="00826A59" w:rsidRPr="009C29C8">
              <w:rPr>
                <w:rFonts w:ascii="Noto Sans" w:hAnsi="Noto Sans" w:cs="Noto Sans"/>
                <w:sz w:val="20"/>
                <w:szCs w:val="20"/>
              </w:rPr>
              <w:t>?</w:t>
            </w:r>
          </w:p>
          <w:p w14:paraId="43169272" w14:textId="223D868C" w:rsidR="00EE305B" w:rsidRPr="009C29C8" w:rsidRDefault="00B4454A" w:rsidP="00B4454A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>Were there any issues? How were those resolved?</w:t>
            </w:r>
          </w:p>
          <w:p w14:paraId="2582DE34" w14:textId="4909406D" w:rsidR="00B4454A" w:rsidRPr="009C29C8" w:rsidRDefault="00826A59" w:rsidP="00B4454A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>What went well?</w:t>
            </w:r>
          </w:p>
          <w:p w14:paraId="636FCD7F" w14:textId="77777777" w:rsidR="00B4454A" w:rsidRPr="009C29C8" w:rsidRDefault="00826A59" w:rsidP="00B4454A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How were the </w:t>
            </w:r>
            <w:proofErr w:type="spellStart"/>
            <w:r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 Action Plans </w:t>
            </w:r>
            <w:r w:rsidR="00622245" w:rsidRPr="009C29C8">
              <w:rPr>
                <w:rFonts w:ascii="Noto Sans" w:hAnsi="Noto Sans" w:cs="Noto Sans"/>
                <w:sz w:val="20"/>
                <w:szCs w:val="20"/>
              </w:rPr>
              <w:t>used? Did students engage with them?</w:t>
            </w:r>
          </w:p>
          <w:p w14:paraId="58A74635" w14:textId="59840B35" w:rsidR="006F7636" w:rsidRPr="00DB0EDF" w:rsidRDefault="006F7636" w:rsidP="00B4454A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>Is there anything that should or will be changed next year?</w:t>
            </w:r>
            <w:r w:rsidR="009C29C8">
              <w:rPr>
                <w:rFonts w:ascii="Noto Sans" w:hAnsi="Noto Sans" w:cs="Noto Sans"/>
                <w:sz w:val="20"/>
                <w:szCs w:val="20"/>
              </w:rPr>
              <w:t xml:space="preserve"> Please add any actions on the </w:t>
            </w:r>
            <w:proofErr w:type="spellStart"/>
            <w:r w:rsid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="009C29C8">
              <w:rPr>
                <w:rFonts w:ascii="Noto Sans" w:hAnsi="Noto Sans" w:cs="Noto Sans"/>
                <w:sz w:val="20"/>
                <w:szCs w:val="20"/>
              </w:rPr>
              <w:t xml:space="preserve"> Action Plan.</w:t>
            </w:r>
          </w:p>
        </w:tc>
      </w:tr>
      <w:tr w:rsidR="00E33AD0" w14:paraId="15CEE331" w14:textId="77777777" w:rsidTr="6A3EB50F">
        <w:trPr>
          <w:trHeight w:val="1722"/>
        </w:trPr>
        <w:tc>
          <w:tcPr>
            <w:tcW w:w="9350" w:type="dxa"/>
          </w:tcPr>
          <w:p w14:paraId="72927691" w14:textId="46E63D92" w:rsidR="00E33AD0" w:rsidRDefault="00E33AD0" w:rsidP="00E33AD0"/>
          <w:p w14:paraId="693F3593" w14:textId="43299984" w:rsidR="00E33AD0" w:rsidRDefault="00E33AD0" w:rsidP="00E33AD0"/>
          <w:p w14:paraId="433A72E4" w14:textId="27B7307E" w:rsidR="00E33AD0" w:rsidRDefault="00E33AD0" w:rsidP="00E33AD0"/>
          <w:p w14:paraId="4846A610" w14:textId="573EB19C" w:rsidR="00E33AD0" w:rsidRDefault="00E33AD0" w:rsidP="00E33AD0"/>
          <w:p w14:paraId="1993CE77" w14:textId="605E7F65" w:rsidR="00E33AD0" w:rsidRDefault="00E33AD0" w:rsidP="00E33AD0"/>
          <w:p w14:paraId="30B7D138" w14:textId="75695606" w:rsidR="00E33AD0" w:rsidRDefault="00E33AD0" w:rsidP="00E33AD0"/>
          <w:p w14:paraId="424B45C9" w14:textId="13BEF181" w:rsidR="00E33AD0" w:rsidRDefault="00E33AD0" w:rsidP="00E33AD0"/>
          <w:p w14:paraId="5BEC5D94" w14:textId="286A3C36" w:rsidR="00E33AD0" w:rsidRDefault="00E33AD0" w:rsidP="00E33AD0"/>
        </w:tc>
      </w:tr>
    </w:tbl>
    <w:p w14:paraId="25DA400A" w14:textId="77777777" w:rsidR="00AC66BE" w:rsidRDefault="00AC66BE" w:rsidP="00E33AD0"/>
    <w:p w14:paraId="40D79833" w14:textId="7717C0E8" w:rsidR="00E33AD0" w:rsidRPr="005119AE" w:rsidRDefault="00D342C7" w:rsidP="004A5501">
      <w:pPr>
        <w:pStyle w:val="Heading1"/>
        <w:numPr>
          <w:ilvl w:val="0"/>
          <w:numId w:val="31"/>
        </w:numPr>
        <w:rPr>
          <w:rFonts w:ascii="Kalice" w:hAnsi="Kalice"/>
          <w:sz w:val="28"/>
          <w:szCs w:val="28"/>
        </w:rPr>
      </w:pPr>
      <w:r>
        <w:rPr>
          <w:rFonts w:ascii="Kalice" w:hAnsi="Kalice"/>
          <w:sz w:val="28"/>
          <w:szCs w:val="28"/>
        </w:rPr>
        <w:t>Access and Participation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66BE" w14:paraId="770459BC" w14:textId="77777777" w:rsidTr="3B39FB85">
        <w:trPr>
          <w:trHeight w:val="499"/>
        </w:trPr>
        <w:tc>
          <w:tcPr>
            <w:tcW w:w="9350" w:type="dxa"/>
            <w:shd w:val="clear" w:color="auto" w:fill="FBE4D5" w:themeFill="accent2" w:themeFillTint="33"/>
          </w:tcPr>
          <w:p w14:paraId="62500637" w14:textId="0A8ED27E" w:rsidR="00AC66BE" w:rsidRPr="00E02C1A" w:rsidRDefault="00E02C1A" w:rsidP="3B39FB85">
            <w:p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E02C1A">
              <w:rPr>
                <w:rFonts w:ascii="Noto Sans" w:hAnsi="Noto Sans" w:cs="Noto Sans"/>
                <w:sz w:val="20"/>
                <w:szCs w:val="20"/>
              </w:rPr>
              <w:t xml:space="preserve">The Trinity Laban Access and Participation Plan sets out the below targets for student success on </w:t>
            </w:r>
            <w:proofErr w:type="spellStart"/>
            <w:r w:rsidRPr="00E02C1A">
              <w:rPr>
                <w:rFonts w:ascii="Noto Sans" w:hAnsi="Noto Sans" w:cs="Noto Sans"/>
                <w:sz w:val="20"/>
                <w:szCs w:val="20"/>
              </w:rPr>
              <w:t>programmes</w:t>
            </w:r>
            <w:proofErr w:type="spellEnd"/>
            <w:r w:rsidRPr="00E02C1A">
              <w:rPr>
                <w:rFonts w:ascii="Noto Sans" w:hAnsi="Noto Sans" w:cs="Noto Sans"/>
                <w:sz w:val="20"/>
                <w:szCs w:val="20"/>
              </w:rPr>
              <w:t>:</w:t>
            </w:r>
          </w:p>
          <w:p w14:paraId="289CB4A8" w14:textId="5968CDF1" w:rsidR="00AC66BE" w:rsidRPr="00E02C1A" w:rsidRDefault="502AF07A" w:rsidP="00E02C1A">
            <w:pPr>
              <w:pStyle w:val="ListParagraph"/>
              <w:numPr>
                <w:ilvl w:val="0"/>
                <w:numId w:val="40"/>
              </w:numPr>
              <w:spacing w:before="240" w:after="240"/>
              <w:rPr>
                <w:sz w:val="20"/>
                <w:szCs w:val="20"/>
              </w:rPr>
            </w:pPr>
            <w:r w:rsidRPr="00E02C1A">
              <w:rPr>
                <w:rFonts w:ascii="Noto Sans" w:eastAsia="Noto Sans" w:hAnsi="Noto Sans" w:cs="Noto Sans"/>
                <w:sz w:val="20"/>
                <w:szCs w:val="20"/>
              </w:rPr>
              <w:t>Reduce the attainment gap between students from IMD Q1 and Q5 areas by -50% by 2028-29</w:t>
            </w:r>
          </w:p>
          <w:p w14:paraId="28404570" w14:textId="417D7777" w:rsidR="00AC66BE" w:rsidRPr="00E02C1A" w:rsidRDefault="502AF07A" w:rsidP="00E02C1A">
            <w:pPr>
              <w:pStyle w:val="ListParagraph"/>
              <w:numPr>
                <w:ilvl w:val="0"/>
                <w:numId w:val="40"/>
              </w:numPr>
              <w:spacing w:before="240" w:after="240"/>
              <w:rPr>
                <w:sz w:val="20"/>
                <w:szCs w:val="20"/>
              </w:rPr>
            </w:pPr>
            <w:r w:rsidRPr="00E02C1A">
              <w:rPr>
                <w:rFonts w:ascii="Noto Sans" w:eastAsia="Noto Sans" w:hAnsi="Noto Sans" w:cs="Noto Sans"/>
                <w:sz w:val="20"/>
                <w:szCs w:val="20"/>
              </w:rPr>
              <w:t>Reduce the 4-yr average completion gap for students who were eligible for free school meals by -50% by 2028-29</w:t>
            </w:r>
          </w:p>
          <w:p w14:paraId="78C000F2" w14:textId="5A821AD2" w:rsidR="00AC66BE" w:rsidRPr="00E02C1A" w:rsidRDefault="502AF07A" w:rsidP="00E02C1A">
            <w:pPr>
              <w:pStyle w:val="ListParagraph"/>
              <w:numPr>
                <w:ilvl w:val="0"/>
                <w:numId w:val="40"/>
              </w:numPr>
              <w:spacing w:before="240" w:after="240"/>
              <w:rPr>
                <w:sz w:val="20"/>
                <w:szCs w:val="20"/>
              </w:rPr>
            </w:pPr>
            <w:r w:rsidRPr="00E02C1A">
              <w:rPr>
                <w:rFonts w:ascii="Noto Sans" w:eastAsia="Noto Sans" w:hAnsi="Noto Sans" w:cs="Noto Sans"/>
                <w:sz w:val="20"/>
                <w:szCs w:val="20"/>
              </w:rPr>
              <w:t>Reduce the attainment gap for male students by -75% by 2028-29</w:t>
            </w:r>
          </w:p>
          <w:p w14:paraId="79E6F7D0" w14:textId="0C1DC631" w:rsidR="00AC66BE" w:rsidRPr="00E02C1A" w:rsidRDefault="502AF07A" w:rsidP="00E02C1A">
            <w:pPr>
              <w:pStyle w:val="ListParagraph"/>
              <w:numPr>
                <w:ilvl w:val="0"/>
                <w:numId w:val="40"/>
              </w:numPr>
              <w:spacing w:before="240" w:after="240"/>
              <w:rPr>
                <w:sz w:val="20"/>
                <w:szCs w:val="20"/>
              </w:rPr>
            </w:pPr>
            <w:r w:rsidRPr="00E02C1A">
              <w:rPr>
                <w:rFonts w:ascii="Noto Sans" w:eastAsia="Noto Sans" w:hAnsi="Noto Sans" w:cs="Noto Sans"/>
                <w:sz w:val="20"/>
                <w:szCs w:val="20"/>
              </w:rPr>
              <w:t>Eliminate the attainment gap for students with disability by 2028-29</w:t>
            </w:r>
          </w:p>
          <w:p w14:paraId="29F6AAD4" w14:textId="07751977" w:rsidR="00AC66BE" w:rsidRPr="00180301" w:rsidRDefault="00DD33F7" w:rsidP="3B39FB85">
            <w:pPr>
              <w:spacing w:before="240" w:after="240"/>
              <w:rPr>
                <w:rFonts w:ascii="Noto Sans" w:eastAsia="Noto Sans" w:hAnsi="Noto Sans" w:cs="Noto Sans"/>
                <w:sz w:val="20"/>
                <w:szCs w:val="20"/>
                <w:lang w:val="en-GB"/>
              </w:rPr>
            </w:pPr>
            <w:r w:rsidRPr="00180301">
              <w:rPr>
                <w:rFonts w:ascii="Noto Sans" w:eastAsia="Noto Sans" w:hAnsi="Noto Sans" w:cs="Noto Sans"/>
                <w:sz w:val="20"/>
                <w:szCs w:val="20"/>
              </w:rPr>
              <w:t xml:space="preserve">Please reflect on activity </w:t>
            </w:r>
            <w:r w:rsidRPr="00180301">
              <w:rPr>
                <w:rFonts w:ascii="Noto Sans" w:eastAsia="Noto Sans" w:hAnsi="Noto Sans" w:cs="Noto Sans"/>
                <w:sz w:val="20"/>
                <w:szCs w:val="20"/>
                <w:lang w:val="en-GB"/>
              </w:rPr>
              <w:t>within the programme in the past year that has supported success among these target groups</w:t>
            </w:r>
            <w:r w:rsidR="00180301" w:rsidRPr="00180301">
              <w:rPr>
                <w:rFonts w:ascii="Noto Sans" w:eastAsia="Noto Sans" w:hAnsi="Noto Sans" w:cs="Noto Sans"/>
                <w:sz w:val="20"/>
                <w:szCs w:val="20"/>
                <w:lang w:val="en-GB"/>
              </w:rPr>
              <w:t>. Are there any actions identified for the Programme Action Plan?</w:t>
            </w:r>
          </w:p>
        </w:tc>
      </w:tr>
      <w:tr w:rsidR="00AC66BE" w14:paraId="2209FC4A" w14:textId="77777777" w:rsidTr="3B39FB85">
        <w:trPr>
          <w:trHeight w:val="1524"/>
        </w:trPr>
        <w:tc>
          <w:tcPr>
            <w:tcW w:w="9350" w:type="dxa"/>
          </w:tcPr>
          <w:p w14:paraId="7CF36F83" w14:textId="77777777" w:rsidR="00AC66BE" w:rsidRPr="00DF1269" w:rsidRDefault="00AC66BE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B56C7" w14:textId="77777777" w:rsidR="00AC66BE" w:rsidRDefault="00AC66BE" w:rsidP="00AC66BE"/>
    <w:p w14:paraId="6AB2A552" w14:textId="2C117006" w:rsidR="00EC3964" w:rsidRPr="008B3A04" w:rsidRDefault="006F7636" w:rsidP="004A5501">
      <w:pPr>
        <w:pStyle w:val="Heading1"/>
        <w:numPr>
          <w:ilvl w:val="0"/>
          <w:numId w:val="31"/>
        </w:numPr>
        <w:rPr>
          <w:rFonts w:ascii="Kalice" w:hAnsi="Kalice"/>
          <w:sz w:val="28"/>
          <w:szCs w:val="24"/>
        </w:rPr>
      </w:pPr>
      <w:r>
        <w:rPr>
          <w:rFonts w:ascii="Kalice" w:hAnsi="Kalice"/>
          <w:sz w:val="28"/>
          <w:szCs w:val="24"/>
        </w:rPr>
        <w:t>Module Surveys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3964" w14:paraId="779AE778" w14:textId="77777777" w:rsidTr="005119AE">
        <w:trPr>
          <w:trHeight w:val="690"/>
        </w:trPr>
        <w:tc>
          <w:tcPr>
            <w:tcW w:w="9350" w:type="dxa"/>
            <w:shd w:val="clear" w:color="auto" w:fill="FBE4D5" w:themeFill="accent2" w:themeFillTint="33"/>
          </w:tcPr>
          <w:p w14:paraId="34AD9371" w14:textId="4889A854" w:rsidR="00237F90" w:rsidRPr="009C29C8" w:rsidRDefault="00237F90" w:rsidP="00237F90">
            <w:pPr>
              <w:spacing w:before="60" w:after="60"/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Please reflect on the results of the module surveys and the Module Leaders’ responses to them. </w:t>
            </w:r>
          </w:p>
          <w:p w14:paraId="627D2FAD" w14:textId="62EA8B2D" w:rsidR="00D81ABD" w:rsidRPr="00702D39" w:rsidRDefault="00237F90" w:rsidP="00237F90">
            <w:pPr>
              <w:spacing w:before="60" w:after="60"/>
              <w:rPr>
                <w:rFonts w:ascii="Noto Sans" w:hAnsi="Noto Sans" w:cs="Noto Sans"/>
                <w:b/>
                <w:bCs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Are there any actions identified for the </w:t>
            </w:r>
            <w:proofErr w:type="spellStart"/>
            <w:r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 Action Plan?</w:t>
            </w:r>
          </w:p>
        </w:tc>
      </w:tr>
      <w:tr w:rsidR="00EC3964" w14:paraId="2E0C8418" w14:textId="77777777" w:rsidTr="00F80CF6">
        <w:trPr>
          <w:trHeight w:val="1266"/>
        </w:trPr>
        <w:tc>
          <w:tcPr>
            <w:tcW w:w="9350" w:type="dxa"/>
          </w:tcPr>
          <w:p w14:paraId="0CAEEED1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D9563" w14:textId="77777777" w:rsidR="00F80CF6" w:rsidRDefault="00F80CF6" w:rsidP="00F80CF6"/>
    <w:p w14:paraId="4518CFFB" w14:textId="5F67F616" w:rsidR="00DE22CF" w:rsidRPr="005119AE" w:rsidRDefault="0027025A" w:rsidP="00F650ED">
      <w:pPr>
        <w:pStyle w:val="Heading1"/>
        <w:numPr>
          <w:ilvl w:val="0"/>
          <w:numId w:val="31"/>
        </w:numPr>
        <w:rPr>
          <w:rFonts w:ascii="Kalice" w:hAnsi="Kalice"/>
          <w:sz w:val="28"/>
          <w:szCs w:val="28"/>
        </w:rPr>
      </w:pPr>
      <w:r w:rsidRPr="3B39FB85">
        <w:rPr>
          <w:rFonts w:ascii="Kalice" w:hAnsi="Kalice"/>
          <w:sz w:val="28"/>
          <w:szCs w:val="28"/>
        </w:rPr>
        <w:t>Placements</w:t>
      </w:r>
      <w:r w:rsidR="4B0A5585" w:rsidRPr="3B39FB85">
        <w:rPr>
          <w:rFonts w:ascii="Kalice" w:hAnsi="Kalice"/>
          <w:sz w:val="28"/>
          <w:szCs w:val="28"/>
        </w:rPr>
        <w:t xml:space="preserve"> </w:t>
      </w:r>
      <w:r w:rsidR="00364EE3">
        <w:rPr>
          <w:rFonts w:ascii="Kalice" w:hAnsi="Kalice"/>
          <w:sz w:val="28"/>
          <w:szCs w:val="28"/>
        </w:rPr>
        <w:t>and industry 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6E5A" w14:paraId="7B2407D1" w14:textId="77777777" w:rsidTr="005119AE">
        <w:trPr>
          <w:trHeight w:val="558"/>
        </w:trPr>
        <w:tc>
          <w:tcPr>
            <w:tcW w:w="9350" w:type="dxa"/>
            <w:shd w:val="clear" w:color="auto" w:fill="FBE4D5" w:themeFill="accent2" w:themeFillTint="33"/>
          </w:tcPr>
          <w:p w14:paraId="495056C8" w14:textId="6D023D09" w:rsidR="00364EE3" w:rsidRDefault="00364EE3" w:rsidP="0027025A">
            <w:pPr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 xml:space="preserve">How did the </w:t>
            </w:r>
            <w:proofErr w:type="spellStart"/>
            <w:r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>
              <w:rPr>
                <w:rFonts w:ascii="Noto Sans" w:hAnsi="Noto Sans" w:cs="Noto Sans"/>
                <w:sz w:val="20"/>
                <w:szCs w:val="20"/>
              </w:rPr>
              <w:t xml:space="preserve"> engage with the industry in the past year? </w:t>
            </w:r>
            <w:r w:rsidR="00DF0C6A">
              <w:rPr>
                <w:rFonts w:ascii="Noto Sans" w:hAnsi="Noto Sans" w:cs="Noto Sans"/>
                <w:sz w:val="20"/>
                <w:szCs w:val="20"/>
              </w:rPr>
              <w:t xml:space="preserve">What worked particularly well? </w:t>
            </w:r>
            <w:r>
              <w:rPr>
                <w:rFonts w:ascii="Noto Sans" w:hAnsi="Noto Sans" w:cs="Noto Sans"/>
                <w:sz w:val="20"/>
                <w:szCs w:val="20"/>
              </w:rPr>
              <w:t>Is there anything that could be improved?</w:t>
            </w:r>
            <w:r w:rsidR="00DF0C6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p w14:paraId="6079B224" w14:textId="77777777" w:rsidR="00364EE3" w:rsidRDefault="00364EE3" w:rsidP="0027025A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EF8FB4A" w14:textId="2A1E1E35" w:rsidR="000B5274" w:rsidRDefault="0027025A" w:rsidP="0027025A">
            <w:pPr>
              <w:rPr>
                <w:rFonts w:ascii="Noto Sans" w:hAnsi="Noto Sans" w:cs="Noto Sans"/>
                <w:sz w:val="20"/>
                <w:szCs w:val="20"/>
              </w:rPr>
            </w:pPr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If </w:t>
            </w:r>
            <w:r w:rsidR="00A0471F" w:rsidRPr="009C29C8">
              <w:rPr>
                <w:rFonts w:ascii="Noto Sans" w:hAnsi="Noto Sans" w:cs="Noto Sans"/>
                <w:sz w:val="20"/>
                <w:szCs w:val="20"/>
              </w:rPr>
              <w:t xml:space="preserve">there are </w:t>
            </w:r>
            <w:r w:rsidRPr="009C29C8">
              <w:rPr>
                <w:rFonts w:ascii="Noto Sans" w:hAnsi="Noto Sans" w:cs="Noto Sans"/>
                <w:sz w:val="20"/>
                <w:szCs w:val="20"/>
              </w:rPr>
              <w:t xml:space="preserve">placements on the </w:t>
            </w:r>
            <w:proofErr w:type="spellStart"/>
            <w:r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9C29C8">
              <w:rPr>
                <w:rFonts w:ascii="Noto Sans" w:hAnsi="Noto Sans" w:cs="Noto Sans"/>
                <w:sz w:val="20"/>
                <w:szCs w:val="20"/>
              </w:rPr>
              <w:t>, please reflect on how they operated in the previous year</w:t>
            </w:r>
            <w:r w:rsidR="00F714B2" w:rsidRPr="009C29C8">
              <w:rPr>
                <w:rFonts w:ascii="Noto Sans" w:hAnsi="Noto Sans" w:cs="Noto Sans"/>
                <w:sz w:val="20"/>
                <w:szCs w:val="20"/>
              </w:rPr>
              <w:t xml:space="preserve"> and what the student experience was. Are there any actions identified for the </w:t>
            </w:r>
            <w:proofErr w:type="spellStart"/>
            <w:r w:rsidR="00F714B2" w:rsidRPr="009C29C8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="00F714B2" w:rsidRPr="009C29C8">
              <w:rPr>
                <w:rFonts w:ascii="Noto Sans" w:hAnsi="Noto Sans" w:cs="Noto Sans"/>
                <w:sz w:val="20"/>
                <w:szCs w:val="20"/>
              </w:rPr>
              <w:t xml:space="preserve"> Action Plan?</w:t>
            </w:r>
          </w:p>
          <w:p w14:paraId="63EFA1EE" w14:textId="0DE11B31" w:rsidR="00364EE3" w:rsidRPr="009C29C8" w:rsidRDefault="00364EE3" w:rsidP="0027025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A96E5A" w14:paraId="0D7067E6" w14:textId="77777777" w:rsidTr="005D5FA9">
        <w:trPr>
          <w:trHeight w:val="1477"/>
        </w:trPr>
        <w:tc>
          <w:tcPr>
            <w:tcW w:w="9350" w:type="dxa"/>
          </w:tcPr>
          <w:p w14:paraId="304CCD65" w14:textId="77777777" w:rsidR="00A96E5A" w:rsidRPr="004F5900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A7668B" w14:textId="77777777" w:rsidR="00D10269" w:rsidRDefault="00D10269" w:rsidP="007D2F8E">
      <w:pPr>
        <w:rPr>
          <w:rFonts w:ascii="Arial" w:hAnsi="Arial" w:cs="Arial"/>
          <w:sz w:val="20"/>
          <w:szCs w:val="20"/>
        </w:rPr>
      </w:pPr>
    </w:p>
    <w:p w14:paraId="506BED1C" w14:textId="34C0DBCF" w:rsidR="39473B4F" w:rsidRDefault="39473B4F" w:rsidP="3B39FB85">
      <w:pPr>
        <w:pStyle w:val="ListParagraph"/>
        <w:numPr>
          <w:ilvl w:val="0"/>
          <w:numId w:val="31"/>
        </w:numPr>
        <w:rPr>
          <w:rFonts w:ascii="Kalice" w:eastAsia="Kalice" w:hAnsi="Kalice" w:cs="Kalice"/>
          <w:b/>
          <w:bCs/>
          <w:sz w:val="28"/>
          <w:szCs w:val="28"/>
        </w:rPr>
      </w:pPr>
      <w:r w:rsidRPr="3B39FB85">
        <w:rPr>
          <w:rFonts w:ascii="Kalice" w:eastAsia="Kalice" w:hAnsi="Kalice" w:cs="Kalice"/>
          <w:b/>
          <w:bCs/>
          <w:sz w:val="28"/>
          <w:szCs w:val="28"/>
        </w:rPr>
        <w:t>Staff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3B39FB85" w14:paraId="120BEC95" w14:textId="77777777" w:rsidTr="3B39FB85">
        <w:trPr>
          <w:trHeight w:val="300"/>
        </w:trPr>
        <w:tc>
          <w:tcPr>
            <w:tcW w:w="9350" w:type="dxa"/>
            <w:shd w:val="clear" w:color="auto" w:fill="FBE4D5" w:themeFill="accent2" w:themeFillTint="33"/>
          </w:tcPr>
          <w:p w14:paraId="2CB90581" w14:textId="24988D98" w:rsidR="4B95FD9A" w:rsidRDefault="00DF0C6A" w:rsidP="3B39FB85">
            <w:pPr>
              <w:rPr>
                <w:rFonts w:ascii="Noto Sans" w:hAnsi="Noto Sans" w:cs="Noto Sans"/>
                <w:sz w:val="20"/>
                <w:szCs w:val="20"/>
                <w:highlight w:val="yellow"/>
              </w:rPr>
            </w:pPr>
            <w:r w:rsidRPr="00DF0C6A">
              <w:rPr>
                <w:rFonts w:ascii="Noto Sans" w:hAnsi="Noto Sans" w:cs="Noto Sans"/>
                <w:sz w:val="20"/>
                <w:szCs w:val="20"/>
              </w:rPr>
              <w:t xml:space="preserve">Were any teaching staff development needs identified on the </w:t>
            </w:r>
            <w:proofErr w:type="spellStart"/>
            <w:r w:rsidRPr="00DF0C6A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DF0C6A">
              <w:rPr>
                <w:rFonts w:ascii="Noto Sans" w:hAnsi="Noto Sans" w:cs="Noto Sans"/>
                <w:sz w:val="20"/>
                <w:szCs w:val="20"/>
              </w:rPr>
              <w:t xml:space="preserve"> last year? How were they met?</w:t>
            </w:r>
            <w:r w:rsidR="00F650ED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3B39FB85" w14:paraId="186BA770" w14:textId="77777777" w:rsidTr="3B39FB85">
        <w:trPr>
          <w:trHeight w:val="300"/>
        </w:trPr>
        <w:tc>
          <w:tcPr>
            <w:tcW w:w="9350" w:type="dxa"/>
          </w:tcPr>
          <w:p w14:paraId="4C456B78" w14:textId="77777777" w:rsidR="3B39FB85" w:rsidRDefault="3B39FB85" w:rsidP="3B39FB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5476A2" w14:textId="77777777" w:rsidR="00F650ED" w:rsidRDefault="00F650ED" w:rsidP="3B39FB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8A54E15" w14:textId="77777777" w:rsidR="00F650ED" w:rsidRDefault="00F650ED" w:rsidP="3B39FB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95069ED" w14:textId="77777777" w:rsidR="00F650ED" w:rsidRDefault="00F650ED" w:rsidP="3B39FB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9158615" w14:textId="77777777" w:rsidR="00F650ED" w:rsidRDefault="00F650ED" w:rsidP="3B39FB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4C975" w14:textId="27A893CC" w:rsidR="3B39FB85" w:rsidRDefault="3B39FB85" w:rsidP="3B39FB85">
      <w:pPr>
        <w:rPr>
          <w:rFonts w:ascii="Kalice" w:eastAsia="Kalice" w:hAnsi="Kalice" w:cs="Kalice"/>
          <w:b/>
          <w:bCs/>
          <w:sz w:val="28"/>
          <w:szCs w:val="28"/>
        </w:rPr>
      </w:pPr>
    </w:p>
    <w:p w14:paraId="2C0F477C" w14:textId="56FB3F91" w:rsidR="00D10269" w:rsidRPr="00AE768B" w:rsidRDefault="00BB7947" w:rsidP="00D10269">
      <w:pPr>
        <w:pStyle w:val="Heading1"/>
        <w:numPr>
          <w:ilvl w:val="0"/>
          <w:numId w:val="31"/>
        </w:numPr>
        <w:rPr>
          <w:rFonts w:ascii="Kalice" w:hAnsi="Kalice"/>
          <w:sz w:val="28"/>
          <w:szCs w:val="24"/>
        </w:rPr>
      </w:pPr>
      <w:r>
        <w:rPr>
          <w:rFonts w:ascii="Kalice" w:hAnsi="Kalice"/>
          <w:sz w:val="28"/>
          <w:szCs w:val="24"/>
        </w:rPr>
        <w:t>Collaborative Partnerships (if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0269" w:rsidRPr="005F007D" w14:paraId="77325853" w14:textId="77777777" w:rsidTr="0024768B">
        <w:tc>
          <w:tcPr>
            <w:tcW w:w="9350" w:type="dxa"/>
            <w:shd w:val="clear" w:color="auto" w:fill="FBE4D5" w:themeFill="accent2" w:themeFillTint="33"/>
          </w:tcPr>
          <w:p w14:paraId="6136323E" w14:textId="77777777" w:rsidR="00D10269" w:rsidRPr="00E07955" w:rsidRDefault="00D10269" w:rsidP="0024768B">
            <w:pPr>
              <w:spacing w:after="160" w:line="259" w:lineRule="auto"/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 xml:space="preserve">Does the </w:t>
            </w:r>
            <w:proofErr w:type="spellStart"/>
            <w:r w:rsidRPr="00E07955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E07955">
              <w:rPr>
                <w:rFonts w:ascii="Noto Sans" w:hAnsi="Noto Sans" w:cs="Noto Sans"/>
                <w:sz w:val="20"/>
                <w:szCs w:val="20"/>
              </w:rPr>
              <w:t xml:space="preserve"> have any collaborative partnerships as defined in Chapter I of the Academic Quality Handbook? If so, which? If not, please do not respond to the rest of the questions in this section.</w:t>
            </w:r>
          </w:p>
        </w:tc>
      </w:tr>
      <w:tr w:rsidR="00D10269" w:rsidRPr="005F007D" w14:paraId="3FE40197" w14:textId="77777777" w:rsidTr="0024768B">
        <w:trPr>
          <w:trHeight w:val="977"/>
        </w:trPr>
        <w:tc>
          <w:tcPr>
            <w:tcW w:w="9350" w:type="dxa"/>
          </w:tcPr>
          <w:p w14:paraId="61736641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</w:rPr>
            </w:pPr>
          </w:p>
          <w:p w14:paraId="2326C06E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</w:rPr>
            </w:pPr>
          </w:p>
          <w:p w14:paraId="20B0F642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</w:rPr>
            </w:pPr>
          </w:p>
        </w:tc>
      </w:tr>
      <w:tr w:rsidR="00D10269" w:rsidRPr="005F007D" w14:paraId="5A2B0485" w14:textId="77777777" w:rsidTr="0024768B">
        <w:trPr>
          <w:trHeight w:val="2520"/>
        </w:trPr>
        <w:tc>
          <w:tcPr>
            <w:tcW w:w="9350" w:type="dxa"/>
            <w:shd w:val="clear" w:color="auto" w:fill="FBE4D5" w:themeFill="accent2" w:themeFillTint="33"/>
          </w:tcPr>
          <w:p w14:paraId="291DDFDD" w14:textId="77777777" w:rsidR="00D10269" w:rsidRPr="00E07955" w:rsidRDefault="00D10269" w:rsidP="0024768B">
            <w:pPr>
              <w:spacing w:after="160" w:line="259" w:lineRule="auto"/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lastRenderedPageBreak/>
              <w:t xml:space="preserve">Were there any issues or concerns relating to collaborative partnerships on the </w:t>
            </w:r>
            <w:proofErr w:type="spellStart"/>
            <w:r w:rsidRPr="00E07955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E07955">
              <w:rPr>
                <w:rFonts w:ascii="Noto Sans" w:hAnsi="Noto Sans" w:cs="Noto Sans"/>
                <w:sz w:val="20"/>
                <w:szCs w:val="20"/>
              </w:rPr>
              <w:t xml:space="preserve"> this year relating to</w:t>
            </w:r>
          </w:p>
          <w:p w14:paraId="7A21EB3C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Achievement of students from partner institutions/on partnership modules</w:t>
            </w:r>
          </w:p>
          <w:p w14:paraId="024A67B8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Experience of students from partner institutions/on partnership modules</w:t>
            </w:r>
          </w:p>
          <w:p w14:paraId="7B79A853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Quality of teaching/student experience at the partner institution, where relevant</w:t>
            </w:r>
          </w:p>
          <w:p w14:paraId="053B77FC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Communication with the partner institution</w:t>
            </w:r>
          </w:p>
          <w:p w14:paraId="5576C474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Changes taking place at the partner institution</w:t>
            </w:r>
          </w:p>
          <w:p w14:paraId="485B820A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Circumstances or external context of the partner institution</w:t>
            </w:r>
          </w:p>
          <w:p w14:paraId="799882AF" w14:textId="77777777" w:rsidR="00D10269" w:rsidRPr="00E07955" w:rsidRDefault="00D10269" w:rsidP="0024768B">
            <w:pPr>
              <w:pStyle w:val="ListParagraph"/>
              <w:numPr>
                <w:ilvl w:val="0"/>
                <w:numId w:val="3"/>
              </w:numPr>
              <w:rPr>
                <w:rFonts w:ascii="Noto Sans" w:hAnsi="Noto Sans" w:cs="Noto Sans"/>
                <w:sz w:val="20"/>
                <w:szCs w:val="20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Anything else?</w:t>
            </w:r>
          </w:p>
          <w:p w14:paraId="6ADA7798" w14:textId="77777777" w:rsidR="00D10269" w:rsidRPr="00702D39" w:rsidRDefault="00D10269" w:rsidP="0024768B">
            <w:pPr>
              <w:pStyle w:val="ListParagraph"/>
              <w:rPr>
                <w:rFonts w:ascii="Noto Sans" w:hAnsi="Noto Sans" w:cs="Noto Sans"/>
              </w:rPr>
            </w:pPr>
          </w:p>
        </w:tc>
      </w:tr>
      <w:tr w:rsidR="00D10269" w:rsidRPr="005F007D" w14:paraId="702CABBC" w14:textId="77777777" w:rsidTr="0024768B">
        <w:trPr>
          <w:trHeight w:val="1078"/>
        </w:trPr>
        <w:tc>
          <w:tcPr>
            <w:tcW w:w="9350" w:type="dxa"/>
          </w:tcPr>
          <w:p w14:paraId="3F59375C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  <w:sz w:val="20"/>
                <w:szCs w:val="20"/>
              </w:rPr>
            </w:pPr>
          </w:p>
          <w:p w14:paraId="5CADA47B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  <w:sz w:val="20"/>
                <w:szCs w:val="20"/>
              </w:rPr>
            </w:pPr>
          </w:p>
          <w:p w14:paraId="0C8BD748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  <w:sz w:val="20"/>
                <w:szCs w:val="20"/>
              </w:rPr>
            </w:pPr>
          </w:p>
          <w:p w14:paraId="6BCE9B67" w14:textId="77777777" w:rsidR="00D10269" w:rsidRPr="00702D39" w:rsidRDefault="00D10269" w:rsidP="0024768B">
            <w:pPr>
              <w:spacing w:after="160" w:line="259" w:lineRule="auto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D10269" w:rsidRPr="005F007D" w14:paraId="38053E37" w14:textId="77777777" w:rsidTr="0024768B">
        <w:trPr>
          <w:trHeight w:val="510"/>
        </w:trPr>
        <w:tc>
          <w:tcPr>
            <w:tcW w:w="9350" w:type="dxa"/>
            <w:shd w:val="clear" w:color="auto" w:fill="FBE4D5" w:themeFill="accent2" w:themeFillTint="33"/>
          </w:tcPr>
          <w:p w14:paraId="7CC54C18" w14:textId="77777777" w:rsidR="00D10269" w:rsidRPr="00E07955" w:rsidRDefault="00D10269" w:rsidP="0024768B">
            <w:pPr>
              <w:spacing w:after="160" w:line="259" w:lineRule="auto"/>
              <w:rPr>
                <w:rFonts w:ascii="Noto Sans" w:hAnsi="Noto Sans" w:cs="Noto Sans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>How often and in what way(s) did you communicate with the partner institution this year?</w:t>
            </w:r>
          </w:p>
        </w:tc>
      </w:tr>
      <w:tr w:rsidR="00D10269" w:rsidRPr="00972DE1" w14:paraId="3560E73F" w14:textId="77777777" w:rsidTr="0024768B">
        <w:trPr>
          <w:trHeight w:val="1051"/>
        </w:trPr>
        <w:tc>
          <w:tcPr>
            <w:tcW w:w="9350" w:type="dxa"/>
          </w:tcPr>
          <w:p w14:paraId="3C308372" w14:textId="77777777" w:rsidR="00D10269" w:rsidRDefault="00D10269" w:rsidP="0024768B">
            <w:pPr>
              <w:spacing w:after="160" w:line="259" w:lineRule="auto"/>
            </w:pPr>
          </w:p>
          <w:p w14:paraId="2C2F807C" w14:textId="77777777" w:rsidR="00D10269" w:rsidRDefault="00D10269" w:rsidP="0024768B">
            <w:pPr>
              <w:spacing w:after="160" w:line="259" w:lineRule="auto"/>
            </w:pPr>
          </w:p>
        </w:tc>
      </w:tr>
    </w:tbl>
    <w:p w14:paraId="7851E70A" w14:textId="77777777" w:rsidR="0094705C" w:rsidRDefault="0094705C" w:rsidP="0094705C">
      <w:pPr>
        <w:rPr>
          <w:rFonts w:ascii="Arial" w:hAnsi="Arial" w:cs="Arial"/>
          <w:sz w:val="20"/>
          <w:szCs w:val="20"/>
        </w:rPr>
      </w:pPr>
    </w:p>
    <w:p w14:paraId="736685BE" w14:textId="6B6C597C" w:rsidR="0094705C" w:rsidRPr="00561555" w:rsidRDefault="0094705C" w:rsidP="00561555">
      <w:pPr>
        <w:pStyle w:val="ListParagraph"/>
        <w:numPr>
          <w:ilvl w:val="0"/>
          <w:numId w:val="31"/>
        </w:numPr>
        <w:rPr>
          <w:rFonts w:ascii="Kalice" w:hAnsi="Kalice"/>
          <w:b/>
          <w:sz w:val="28"/>
          <w:szCs w:val="32"/>
        </w:rPr>
      </w:pPr>
      <w:r w:rsidRPr="00561555">
        <w:rPr>
          <w:rFonts w:ascii="Kalice" w:hAnsi="Kalice"/>
          <w:b/>
          <w:sz w:val="28"/>
          <w:szCs w:val="32"/>
        </w:rPr>
        <w:t>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05C" w:rsidRPr="0094705C" w14:paraId="23D2529A" w14:textId="77777777" w:rsidTr="0024768B">
        <w:trPr>
          <w:trHeight w:val="474"/>
        </w:trPr>
        <w:tc>
          <w:tcPr>
            <w:tcW w:w="9350" w:type="dxa"/>
            <w:shd w:val="clear" w:color="auto" w:fill="FBE4D5" w:themeFill="accent2" w:themeFillTint="33"/>
          </w:tcPr>
          <w:p w14:paraId="3F25AFB4" w14:textId="77777777" w:rsidR="0094705C" w:rsidRPr="00E07955" w:rsidRDefault="0094705C" w:rsidP="0094705C">
            <w:pPr>
              <w:spacing w:after="160" w:line="259" w:lineRule="auto"/>
              <w:rPr>
                <w:rFonts w:ascii="Noto Sans" w:hAnsi="Noto Sans" w:cs="Noto Sans"/>
              </w:rPr>
            </w:pPr>
            <w:r w:rsidRPr="00E07955">
              <w:rPr>
                <w:rFonts w:ascii="Noto Sans" w:hAnsi="Noto Sans" w:cs="Noto Sans"/>
                <w:sz w:val="20"/>
                <w:szCs w:val="20"/>
              </w:rPr>
              <w:t xml:space="preserve">You can use this text box to expand any of the above sections or to add any further evaluation or observations on the </w:t>
            </w:r>
            <w:proofErr w:type="spellStart"/>
            <w:r w:rsidRPr="00E07955">
              <w:rPr>
                <w:rFonts w:ascii="Noto Sans" w:hAnsi="Noto Sans" w:cs="Noto Sans"/>
                <w:sz w:val="20"/>
                <w:szCs w:val="20"/>
              </w:rPr>
              <w:t>programme</w:t>
            </w:r>
            <w:proofErr w:type="spellEnd"/>
            <w:r w:rsidRPr="00E07955">
              <w:rPr>
                <w:rFonts w:ascii="Noto Sans" w:hAnsi="Noto Sans" w:cs="Noto Sans"/>
                <w:sz w:val="20"/>
                <w:szCs w:val="20"/>
              </w:rPr>
              <w:t xml:space="preserve"> from the year under review, if you wish.</w:t>
            </w:r>
          </w:p>
        </w:tc>
      </w:tr>
      <w:tr w:rsidR="0094705C" w:rsidRPr="0094705C" w14:paraId="2A7F1731" w14:textId="77777777" w:rsidTr="004C34A9">
        <w:trPr>
          <w:trHeight w:val="1451"/>
        </w:trPr>
        <w:tc>
          <w:tcPr>
            <w:tcW w:w="9350" w:type="dxa"/>
          </w:tcPr>
          <w:p w14:paraId="0FAE3DA2" w14:textId="77777777" w:rsidR="0094705C" w:rsidRPr="0094705C" w:rsidRDefault="0094705C" w:rsidP="0094705C">
            <w:pPr>
              <w:spacing w:after="160" w:line="259" w:lineRule="auto"/>
            </w:pPr>
          </w:p>
        </w:tc>
      </w:tr>
    </w:tbl>
    <w:p w14:paraId="56ED8C5D" w14:textId="77777777" w:rsidR="0094705C" w:rsidRDefault="0094705C" w:rsidP="007D2F8E"/>
    <w:p w14:paraId="3CD61F1D" w14:textId="77777777" w:rsidR="006A0BC0" w:rsidRDefault="006A0BC0" w:rsidP="007D2F8E"/>
    <w:p w14:paraId="753E12C6" w14:textId="77777777" w:rsidR="006A0BC0" w:rsidRDefault="006A0BC0" w:rsidP="007D2F8E"/>
    <w:p w14:paraId="19E7B8BA" w14:textId="77777777" w:rsidR="006A0BC0" w:rsidRDefault="006A0BC0" w:rsidP="007D2F8E"/>
    <w:p w14:paraId="1539A500" w14:textId="1E1CFB3D" w:rsidR="007F66C6" w:rsidRDefault="007F66C6" w:rsidP="007F66C6">
      <w:pPr>
        <w:pStyle w:val="ListParagraph"/>
        <w:numPr>
          <w:ilvl w:val="0"/>
          <w:numId w:val="34"/>
        </w:numPr>
        <w:rPr>
          <w:rFonts w:ascii="Kalice" w:hAnsi="Kalice"/>
          <w:b/>
          <w:bCs/>
          <w:sz w:val="30"/>
          <w:szCs w:val="30"/>
        </w:rPr>
      </w:pPr>
      <w:r w:rsidRPr="007F66C6">
        <w:rPr>
          <w:rFonts w:ascii="Kalice" w:hAnsi="Kalice"/>
          <w:b/>
          <w:bCs/>
          <w:sz w:val="30"/>
          <w:szCs w:val="30"/>
        </w:rPr>
        <w:t>FOCUS THEMES</w:t>
      </w:r>
    </w:p>
    <w:p w14:paraId="5C999E12" w14:textId="262026D4" w:rsidR="001B26F3" w:rsidRDefault="00FF2DA2" w:rsidP="00804642">
      <w:pPr>
        <w:rPr>
          <w:rFonts w:ascii="Noto Sans" w:hAnsi="Noto Sans" w:cs="Noto Sans"/>
          <w:sz w:val="20"/>
          <w:szCs w:val="20"/>
        </w:rPr>
      </w:pPr>
      <w:r w:rsidRPr="00E07955">
        <w:rPr>
          <w:rFonts w:ascii="Noto Sans" w:hAnsi="Noto Sans" w:cs="Noto Sans"/>
          <w:sz w:val="20"/>
          <w:szCs w:val="20"/>
        </w:rPr>
        <w:t xml:space="preserve">Below are sections for each of the areas that has not met the metric benchmark in the previous year. </w:t>
      </w:r>
      <w:proofErr w:type="spellStart"/>
      <w:r w:rsidRPr="00E07955">
        <w:rPr>
          <w:rFonts w:ascii="Noto Sans" w:hAnsi="Noto Sans" w:cs="Noto Sans"/>
          <w:sz w:val="20"/>
          <w:szCs w:val="20"/>
        </w:rPr>
        <w:t>Programme</w:t>
      </w:r>
      <w:proofErr w:type="spellEnd"/>
      <w:r w:rsidRPr="00E07955">
        <w:rPr>
          <w:rFonts w:ascii="Noto Sans" w:hAnsi="Noto Sans" w:cs="Noto Sans"/>
          <w:sz w:val="20"/>
          <w:szCs w:val="20"/>
        </w:rPr>
        <w:t xml:space="preserve"> Leaders</w:t>
      </w:r>
      <w:r w:rsidR="00017621" w:rsidRPr="00E07955">
        <w:rPr>
          <w:rFonts w:ascii="Noto Sans" w:hAnsi="Noto Sans" w:cs="Noto Sans"/>
          <w:sz w:val="20"/>
          <w:szCs w:val="20"/>
        </w:rPr>
        <w:t xml:space="preserve">, with </w:t>
      </w:r>
      <w:proofErr w:type="spellStart"/>
      <w:r w:rsidR="00017621" w:rsidRPr="00E07955">
        <w:rPr>
          <w:rFonts w:ascii="Noto Sans" w:hAnsi="Noto Sans" w:cs="Noto Sans"/>
          <w:sz w:val="20"/>
          <w:szCs w:val="20"/>
        </w:rPr>
        <w:t>programme</w:t>
      </w:r>
      <w:proofErr w:type="spellEnd"/>
      <w:r w:rsidR="00017621" w:rsidRPr="00E07955">
        <w:rPr>
          <w:rFonts w:ascii="Noto Sans" w:hAnsi="Noto Sans" w:cs="Noto Sans"/>
          <w:sz w:val="20"/>
          <w:szCs w:val="20"/>
        </w:rPr>
        <w:t xml:space="preserve"> teams and in liaison with other teams or members of staff as </w:t>
      </w:r>
      <w:r w:rsidR="00017621" w:rsidRPr="00E07955">
        <w:rPr>
          <w:rFonts w:ascii="Noto Sans" w:hAnsi="Noto Sans" w:cs="Noto Sans"/>
          <w:sz w:val="20"/>
          <w:szCs w:val="20"/>
        </w:rPr>
        <w:lastRenderedPageBreak/>
        <w:t>relevant,</w:t>
      </w:r>
      <w:r w:rsidRPr="00E07955">
        <w:rPr>
          <w:rFonts w:ascii="Noto Sans" w:hAnsi="Noto Sans" w:cs="Noto Sans"/>
          <w:sz w:val="20"/>
          <w:szCs w:val="20"/>
        </w:rPr>
        <w:t xml:space="preserve"> should reflect on </w:t>
      </w:r>
      <w:r w:rsidR="00685758" w:rsidRPr="00E07955">
        <w:rPr>
          <w:rFonts w:ascii="Noto Sans" w:hAnsi="Noto Sans" w:cs="Noto Sans"/>
          <w:sz w:val="20"/>
          <w:szCs w:val="20"/>
        </w:rPr>
        <w:t>each area</w:t>
      </w:r>
      <w:r w:rsidR="009C7C8E">
        <w:rPr>
          <w:rFonts w:ascii="Noto Sans" w:hAnsi="Noto Sans" w:cs="Noto Sans"/>
          <w:sz w:val="20"/>
          <w:szCs w:val="20"/>
        </w:rPr>
        <w:t xml:space="preserve"> for improvement</w:t>
      </w:r>
      <w:r w:rsidR="00685758" w:rsidRPr="00E07955">
        <w:rPr>
          <w:rFonts w:ascii="Noto Sans" w:hAnsi="Noto Sans" w:cs="Noto Sans"/>
          <w:sz w:val="20"/>
          <w:szCs w:val="20"/>
        </w:rPr>
        <w:t xml:space="preserve"> a</w:t>
      </w:r>
      <w:r w:rsidR="004E47E2" w:rsidRPr="00E07955">
        <w:rPr>
          <w:rFonts w:ascii="Noto Sans" w:hAnsi="Noto Sans" w:cs="Noto Sans"/>
          <w:sz w:val="20"/>
          <w:szCs w:val="20"/>
        </w:rPr>
        <w:t>nd</w:t>
      </w:r>
      <w:r w:rsidR="00C23CE3" w:rsidRPr="00E07955">
        <w:rPr>
          <w:rFonts w:ascii="Noto Sans" w:hAnsi="Noto Sans" w:cs="Noto Sans"/>
          <w:sz w:val="20"/>
          <w:szCs w:val="20"/>
        </w:rPr>
        <w:t xml:space="preserve"> evaluate </w:t>
      </w:r>
      <w:r w:rsidR="004A6A5F" w:rsidRPr="00E07955">
        <w:rPr>
          <w:rFonts w:ascii="Noto Sans" w:hAnsi="Noto Sans" w:cs="Noto Sans"/>
          <w:sz w:val="20"/>
          <w:szCs w:val="20"/>
        </w:rPr>
        <w:t>what</w:t>
      </w:r>
      <w:r w:rsidR="00804642" w:rsidRPr="00E07955">
        <w:rPr>
          <w:rFonts w:ascii="Noto Sans" w:hAnsi="Noto Sans" w:cs="Noto Sans"/>
          <w:sz w:val="20"/>
          <w:szCs w:val="20"/>
        </w:rPr>
        <w:t xml:space="preserve"> action is required</w:t>
      </w:r>
      <w:r w:rsidR="00C9739C">
        <w:rPr>
          <w:rFonts w:ascii="Noto Sans" w:hAnsi="Noto Sans" w:cs="Noto Sans"/>
          <w:sz w:val="20"/>
          <w:szCs w:val="20"/>
        </w:rPr>
        <w:t xml:space="preserve"> to address any issues identified</w:t>
      </w:r>
      <w:r w:rsidR="009C29C8" w:rsidRPr="00E07955">
        <w:rPr>
          <w:rFonts w:ascii="Noto Sans" w:hAnsi="Noto Sans" w:cs="Noto Sans"/>
          <w:sz w:val="20"/>
          <w:szCs w:val="20"/>
        </w:rPr>
        <w:t xml:space="preserve">. The actions should be included in the </w:t>
      </w:r>
      <w:proofErr w:type="spellStart"/>
      <w:r w:rsidR="009C29C8" w:rsidRPr="00E07955">
        <w:rPr>
          <w:rFonts w:ascii="Noto Sans" w:hAnsi="Noto Sans" w:cs="Noto Sans"/>
          <w:sz w:val="20"/>
          <w:szCs w:val="20"/>
        </w:rPr>
        <w:t>Programme</w:t>
      </w:r>
      <w:proofErr w:type="spellEnd"/>
      <w:r w:rsidR="009C29C8" w:rsidRPr="00E07955">
        <w:rPr>
          <w:rFonts w:ascii="Noto Sans" w:hAnsi="Noto Sans" w:cs="Noto Sans"/>
          <w:sz w:val="20"/>
          <w:szCs w:val="20"/>
        </w:rPr>
        <w:t xml:space="preserve"> Action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55" w:rsidRPr="0094705C" w14:paraId="68DF21CF" w14:textId="77777777" w:rsidTr="006661CD">
        <w:trPr>
          <w:trHeight w:val="474"/>
        </w:trPr>
        <w:tc>
          <w:tcPr>
            <w:tcW w:w="9350" w:type="dxa"/>
            <w:shd w:val="clear" w:color="auto" w:fill="FBE4D5" w:themeFill="accent2" w:themeFillTint="33"/>
          </w:tcPr>
          <w:p w14:paraId="7B403285" w14:textId="408DE89F" w:rsidR="00E07955" w:rsidRPr="00F026D3" w:rsidRDefault="009C7C8E" w:rsidP="006661CD">
            <w:pPr>
              <w:spacing w:after="160" w:line="259" w:lineRule="auto"/>
              <w:rPr>
                <w:rFonts w:ascii="Noto Sans" w:hAnsi="Noto Sans" w:cs="Noto Sans"/>
                <w:b/>
                <w:bCs/>
              </w:rPr>
            </w:pPr>
            <w:r w:rsidRPr="00F026D3">
              <w:rPr>
                <w:rFonts w:ascii="Noto Sans" w:hAnsi="Noto Sans" w:cs="Noto Sans"/>
                <w:b/>
                <w:bCs/>
                <w:sz w:val="20"/>
                <w:szCs w:val="20"/>
              </w:rPr>
              <w:t>[</w:t>
            </w:r>
            <w:r w:rsidR="00F026D3" w:rsidRPr="00F026D3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Areas for improvement added by Registry </w:t>
            </w:r>
            <w:r w:rsidR="00F650ED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for each </w:t>
            </w:r>
            <w:proofErr w:type="spellStart"/>
            <w:r w:rsidR="00F650ED">
              <w:rPr>
                <w:rFonts w:ascii="Noto Sans" w:hAnsi="Noto Sans" w:cs="Noto Sans"/>
                <w:b/>
                <w:bCs/>
                <w:sz w:val="20"/>
                <w:szCs w:val="20"/>
              </w:rPr>
              <w:t>programme</w:t>
            </w:r>
            <w:proofErr w:type="spellEnd"/>
            <w:r w:rsidR="00F650ED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  <w:r w:rsidR="00F026D3" w:rsidRPr="00F026D3">
              <w:rPr>
                <w:rFonts w:ascii="Noto Sans" w:hAnsi="Noto Sans" w:cs="Noto Sans"/>
                <w:b/>
                <w:bCs/>
                <w:sz w:val="20"/>
                <w:szCs w:val="20"/>
              </w:rPr>
              <w:t>following data analysis]</w:t>
            </w:r>
          </w:p>
        </w:tc>
      </w:tr>
      <w:tr w:rsidR="00E07955" w:rsidRPr="0094705C" w14:paraId="3072289D" w14:textId="77777777" w:rsidTr="006661CD">
        <w:trPr>
          <w:trHeight w:val="1451"/>
        </w:trPr>
        <w:tc>
          <w:tcPr>
            <w:tcW w:w="9350" w:type="dxa"/>
          </w:tcPr>
          <w:p w14:paraId="5320E807" w14:textId="77777777" w:rsidR="00E07955" w:rsidRPr="0094705C" w:rsidRDefault="00E07955" w:rsidP="006661CD">
            <w:pPr>
              <w:spacing w:after="160" w:line="259" w:lineRule="auto"/>
            </w:pPr>
          </w:p>
        </w:tc>
      </w:tr>
    </w:tbl>
    <w:p w14:paraId="671D819F" w14:textId="77777777" w:rsidR="00E07955" w:rsidRDefault="00E07955" w:rsidP="00804642">
      <w:pPr>
        <w:rPr>
          <w:rFonts w:ascii="Noto Sans" w:hAnsi="Noto Sans" w:cs="Noto Sans"/>
          <w:sz w:val="20"/>
          <w:szCs w:val="20"/>
        </w:rPr>
      </w:pPr>
    </w:p>
    <w:p w14:paraId="3B6B065C" w14:textId="77777777" w:rsidR="00E07955" w:rsidRPr="00E07955" w:rsidRDefault="00E07955" w:rsidP="00804642">
      <w:pPr>
        <w:rPr>
          <w:rFonts w:ascii="Noto Sans" w:hAnsi="Noto Sans" w:cs="Noto Sans"/>
          <w:sz w:val="20"/>
          <w:szCs w:val="20"/>
        </w:rPr>
      </w:pPr>
    </w:p>
    <w:sectPr w:rsidR="00E07955" w:rsidRPr="00E07955" w:rsidSect="006366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408E" w14:textId="77777777" w:rsidR="000E5660" w:rsidRDefault="000E5660" w:rsidP="007D2F8E">
      <w:pPr>
        <w:spacing w:after="0" w:line="240" w:lineRule="auto"/>
      </w:pPr>
      <w:r>
        <w:separator/>
      </w:r>
    </w:p>
  </w:endnote>
  <w:endnote w:type="continuationSeparator" w:id="0">
    <w:p w14:paraId="51BD1BCA" w14:textId="77777777" w:rsidR="000E5660" w:rsidRDefault="000E5660" w:rsidP="007D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panose1 w:val="020B050204050409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73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4D7F1" w14:textId="77777777" w:rsidR="007D2F8E" w:rsidRDefault="007D2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CEB20" w14:textId="77777777" w:rsidR="007D2F8E" w:rsidRDefault="007D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ACFE3" w14:textId="77777777" w:rsidR="000E5660" w:rsidRDefault="000E5660" w:rsidP="007D2F8E">
      <w:pPr>
        <w:spacing w:after="0" w:line="240" w:lineRule="auto"/>
      </w:pPr>
      <w:r>
        <w:separator/>
      </w:r>
    </w:p>
  </w:footnote>
  <w:footnote w:type="continuationSeparator" w:id="0">
    <w:p w14:paraId="46F4F164" w14:textId="77777777" w:rsidR="000E5660" w:rsidRDefault="000E5660" w:rsidP="007D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930"/>
    <w:multiLevelType w:val="hybridMultilevel"/>
    <w:tmpl w:val="14D2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D2A"/>
    <w:multiLevelType w:val="hybridMultilevel"/>
    <w:tmpl w:val="FA506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0457A"/>
    <w:multiLevelType w:val="hybridMultilevel"/>
    <w:tmpl w:val="5C2200F2"/>
    <w:lvl w:ilvl="0" w:tplc="B3A66C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64E9"/>
    <w:multiLevelType w:val="hybridMultilevel"/>
    <w:tmpl w:val="2FECE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80DB0"/>
    <w:multiLevelType w:val="hybridMultilevel"/>
    <w:tmpl w:val="9BEE9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067B"/>
    <w:multiLevelType w:val="hybridMultilevel"/>
    <w:tmpl w:val="56BCC9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704"/>
    <w:multiLevelType w:val="hybridMultilevel"/>
    <w:tmpl w:val="DB24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94D"/>
    <w:multiLevelType w:val="hybridMultilevel"/>
    <w:tmpl w:val="BC9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3352"/>
    <w:multiLevelType w:val="hybridMultilevel"/>
    <w:tmpl w:val="FE8C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D26"/>
    <w:multiLevelType w:val="hybridMultilevel"/>
    <w:tmpl w:val="61C8C7BA"/>
    <w:lvl w:ilvl="0" w:tplc="BD6A46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8CC"/>
    <w:multiLevelType w:val="hybridMultilevel"/>
    <w:tmpl w:val="803ACE7C"/>
    <w:lvl w:ilvl="0" w:tplc="11DA1912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725E5"/>
    <w:multiLevelType w:val="hybridMultilevel"/>
    <w:tmpl w:val="BDF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2177"/>
    <w:multiLevelType w:val="hybridMultilevel"/>
    <w:tmpl w:val="31F0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6B44"/>
    <w:multiLevelType w:val="hybridMultilevel"/>
    <w:tmpl w:val="8C54E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269D2"/>
    <w:multiLevelType w:val="hybridMultilevel"/>
    <w:tmpl w:val="ADA88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C33EA"/>
    <w:multiLevelType w:val="hybridMultilevel"/>
    <w:tmpl w:val="9B9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7460A"/>
    <w:multiLevelType w:val="hybridMultilevel"/>
    <w:tmpl w:val="18E204DC"/>
    <w:lvl w:ilvl="0" w:tplc="EB443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69BD"/>
    <w:multiLevelType w:val="hybridMultilevel"/>
    <w:tmpl w:val="A7B0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A05BF"/>
    <w:multiLevelType w:val="hybridMultilevel"/>
    <w:tmpl w:val="5BAC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016A"/>
    <w:multiLevelType w:val="hybridMultilevel"/>
    <w:tmpl w:val="24461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E3D03"/>
    <w:multiLevelType w:val="hybridMultilevel"/>
    <w:tmpl w:val="A6E890BE"/>
    <w:lvl w:ilvl="0" w:tplc="4F86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0D31"/>
    <w:multiLevelType w:val="hybridMultilevel"/>
    <w:tmpl w:val="2DCAE86A"/>
    <w:lvl w:ilvl="0" w:tplc="A810F9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C5C94"/>
    <w:multiLevelType w:val="hybridMultilevel"/>
    <w:tmpl w:val="C2560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88A"/>
    <w:multiLevelType w:val="hybridMultilevel"/>
    <w:tmpl w:val="34C2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104C2"/>
    <w:multiLevelType w:val="hybridMultilevel"/>
    <w:tmpl w:val="2CAC4D0C"/>
    <w:lvl w:ilvl="0" w:tplc="59A0B5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9E4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2C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F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4D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7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63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F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4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D0184"/>
    <w:multiLevelType w:val="hybridMultilevel"/>
    <w:tmpl w:val="84F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EC3"/>
    <w:multiLevelType w:val="hybridMultilevel"/>
    <w:tmpl w:val="0FB05608"/>
    <w:lvl w:ilvl="0" w:tplc="1CD0B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DD20A8"/>
    <w:multiLevelType w:val="hybridMultilevel"/>
    <w:tmpl w:val="EC9A97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A0263D"/>
    <w:multiLevelType w:val="hybridMultilevel"/>
    <w:tmpl w:val="788C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4F52"/>
    <w:multiLevelType w:val="hybridMultilevel"/>
    <w:tmpl w:val="BD0295F4"/>
    <w:lvl w:ilvl="0" w:tplc="81B69A88">
      <w:numFmt w:val="bullet"/>
      <w:lvlText w:val="·"/>
      <w:lvlJc w:val="left"/>
      <w:pPr>
        <w:ind w:left="720" w:hanging="360"/>
      </w:pPr>
      <w:rPr>
        <w:rFonts w:ascii="Noto Sans" w:eastAsia="Noto Sans" w:hAnsi="Noto Sans" w:cs="Noto San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59E4"/>
    <w:multiLevelType w:val="hybridMultilevel"/>
    <w:tmpl w:val="7E36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E2204"/>
    <w:multiLevelType w:val="hybridMultilevel"/>
    <w:tmpl w:val="4002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0E8"/>
    <w:multiLevelType w:val="hybridMultilevel"/>
    <w:tmpl w:val="65EEE8B0"/>
    <w:lvl w:ilvl="0" w:tplc="B1467C4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4359">
    <w:abstractNumId w:val="24"/>
  </w:num>
  <w:num w:numId="2" w16cid:durableId="1500199009">
    <w:abstractNumId w:val="32"/>
  </w:num>
  <w:num w:numId="3" w16cid:durableId="1515263259">
    <w:abstractNumId w:val="18"/>
  </w:num>
  <w:num w:numId="4" w16cid:durableId="1408845592">
    <w:abstractNumId w:val="8"/>
  </w:num>
  <w:num w:numId="5" w16cid:durableId="1884368344">
    <w:abstractNumId w:val="23"/>
  </w:num>
  <w:num w:numId="6" w16cid:durableId="1080255053">
    <w:abstractNumId w:val="28"/>
  </w:num>
  <w:num w:numId="7" w16cid:durableId="716003284">
    <w:abstractNumId w:val="32"/>
    <w:lvlOverride w:ilvl="0">
      <w:startOverride w:val="1"/>
    </w:lvlOverride>
  </w:num>
  <w:num w:numId="8" w16cid:durableId="1342583153">
    <w:abstractNumId w:val="32"/>
    <w:lvlOverride w:ilvl="0">
      <w:startOverride w:val="1"/>
    </w:lvlOverride>
  </w:num>
  <w:num w:numId="9" w16cid:durableId="595089831">
    <w:abstractNumId w:val="13"/>
  </w:num>
  <w:num w:numId="10" w16cid:durableId="411313386">
    <w:abstractNumId w:val="22"/>
  </w:num>
  <w:num w:numId="11" w16cid:durableId="724648866">
    <w:abstractNumId w:val="32"/>
    <w:lvlOverride w:ilvl="0">
      <w:startOverride w:val="1"/>
    </w:lvlOverride>
  </w:num>
  <w:num w:numId="12" w16cid:durableId="930703899">
    <w:abstractNumId w:val="10"/>
  </w:num>
  <w:num w:numId="13" w16cid:durableId="276186197">
    <w:abstractNumId w:val="12"/>
  </w:num>
  <w:num w:numId="14" w16cid:durableId="1610815629">
    <w:abstractNumId w:val="9"/>
  </w:num>
  <w:num w:numId="15" w16cid:durableId="1939674444">
    <w:abstractNumId w:val="31"/>
  </w:num>
  <w:num w:numId="16" w16cid:durableId="691884948">
    <w:abstractNumId w:val="16"/>
  </w:num>
  <w:num w:numId="17" w16cid:durableId="1492677094">
    <w:abstractNumId w:val="14"/>
  </w:num>
  <w:num w:numId="18" w16cid:durableId="390929968">
    <w:abstractNumId w:val="1"/>
  </w:num>
  <w:num w:numId="19" w16cid:durableId="1613586518">
    <w:abstractNumId w:val="4"/>
  </w:num>
  <w:num w:numId="20" w16cid:durableId="1757363538">
    <w:abstractNumId w:val="11"/>
  </w:num>
  <w:num w:numId="21" w16cid:durableId="574782101">
    <w:abstractNumId w:val="32"/>
    <w:lvlOverride w:ilvl="0">
      <w:startOverride w:val="1"/>
    </w:lvlOverride>
  </w:num>
  <w:num w:numId="22" w16cid:durableId="245892129">
    <w:abstractNumId w:val="32"/>
    <w:lvlOverride w:ilvl="0">
      <w:startOverride w:val="1"/>
    </w:lvlOverride>
  </w:num>
  <w:num w:numId="23" w16cid:durableId="1056004628">
    <w:abstractNumId w:val="32"/>
    <w:lvlOverride w:ilvl="0">
      <w:startOverride w:val="1"/>
    </w:lvlOverride>
  </w:num>
  <w:num w:numId="24" w16cid:durableId="804586659">
    <w:abstractNumId w:val="32"/>
    <w:lvlOverride w:ilvl="0">
      <w:startOverride w:val="1"/>
    </w:lvlOverride>
  </w:num>
  <w:num w:numId="25" w16cid:durableId="643044685">
    <w:abstractNumId w:val="21"/>
  </w:num>
  <w:num w:numId="26" w16cid:durableId="6517070">
    <w:abstractNumId w:val="19"/>
  </w:num>
  <w:num w:numId="27" w16cid:durableId="1188762228">
    <w:abstractNumId w:val="3"/>
  </w:num>
  <w:num w:numId="28" w16cid:durableId="1776436540">
    <w:abstractNumId w:val="17"/>
  </w:num>
  <w:num w:numId="29" w16cid:durableId="244996010">
    <w:abstractNumId w:val="15"/>
  </w:num>
  <w:num w:numId="30" w16cid:durableId="1121072650">
    <w:abstractNumId w:val="20"/>
  </w:num>
  <w:num w:numId="31" w16cid:durableId="126700067">
    <w:abstractNumId w:val="2"/>
  </w:num>
  <w:num w:numId="32" w16cid:durableId="1452432193">
    <w:abstractNumId w:val="6"/>
  </w:num>
  <w:num w:numId="33" w16cid:durableId="26881767">
    <w:abstractNumId w:val="26"/>
  </w:num>
  <w:num w:numId="34" w16cid:durableId="2710941">
    <w:abstractNumId w:val="5"/>
  </w:num>
  <w:num w:numId="35" w16cid:durableId="386029199">
    <w:abstractNumId w:val="27"/>
  </w:num>
  <w:num w:numId="36" w16cid:durableId="447552002">
    <w:abstractNumId w:val="30"/>
  </w:num>
  <w:num w:numId="37" w16cid:durableId="1356033418">
    <w:abstractNumId w:val="0"/>
  </w:num>
  <w:num w:numId="38" w16cid:durableId="1397632839">
    <w:abstractNumId w:val="25"/>
  </w:num>
  <w:num w:numId="39" w16cid:durableId="1315717194">
    <w:abstractNumId w:val="7"/>
  </w:num>
  <w:num w:numId="40" w16cid:durableId="11351006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DF"/>
    <w:rsid w:val="00017621"/>
    <w:rsid w:val="00022FCE"/>
    <w:rsid w:val="00026C0E"/>
    <w:rsid w:val="00033E2E"/>
    <w:rsid w:val="00036C35"/>
    <w:rsid w:val="00042842"/>
    <w:rsid w:val="00050FC7"/>
    <w:rsid w:val="00085F4B"/>
    <w:rsid w:val="000A4ECE"/>
    <w:rsid w:val="000A7D32"/>
    <w:rsid w:val="000B5274"/>
    <w:rsid w:val="000B729E"/>
    <w:rsid w:val="000E528F"/>
    <w:rsid w:val="000E5660"/>
    <w:rsid w:val="000F5143"/>
    <w:rsid w:val="000F5868"/>
    <w:rsid w:val="00106D20"/>
    <w:rsid w:val="001113B9"/>
    <w:rsid w:val="00132036"/>
    <w:rsid w:val="001566FF"/>
    <w:rsid w:val="00164243"/>
    <w:rsid w:val="001647EF"/>
    <w:rsid w:val="00165579"/>
    <w:rsid w:val="00167235"/>
    <w:rsid w:val="0017005E"/>
    <w:rsid w:val="00170222"/>
    <w:rsid w:val="001730E7"/>
    <w:rsid w:val="00175DCA"/>
    <w:rsid w:val="00180301"/>
    <w:rsid w:val="00180AAA"/>
    <w:rsid w:val="001A06DC"/>
    <w:rsid w:val="001A10EB"/>
    <w:rsid w:val="001B26F3"/>
    <w:rsid w:val="001C2336"/>
    <w:rsid w:val="001C6A26"/>
    <w:rsid w:val="001E4DDE"/>
    <w:rsid w:val="001F62F4"/>
    <w:rsid w:val="00223127"/>
    <w:rsid w:val="00227EF7"/>
    <w:rsid w:val="00230F07"/>
    <w:rsid w:val="00235E2B"/>
    <w:rsid w:val="00237F90"/>
    <w:rsid w:val="00255E87"/>
    <w:rsid w:val="00261E91"/>
    <w:rsid w:val="002620B0"/>
    <w:rsid w:val="0027025A"/>
    <w:rsid w:val="00271890"/>
    <w:rsid w:val="00276B88"/>
    <w:rsid w:val="00277286"/>
    <w:rsid w:val="00283148"/>
    <w:rsid w:val="00293CD6"/>
    <w:rsid w:val="00295603"/>
    <w:rsid w:val="00295B28"/>
    <w:rsid w:val="002963D7"/>
    <w:rsid w:val="002A67B4"/>
    <w:rsid w:val="002A77A1"/>
    <w:rsid w:val="002B27E4"/>
    <w:rsid w:val="002B7FB6"/>
    <w:rsid w:val="002D2AA4"/>
    <w:rsid w:val="002E42FE"/>
    <w:rsid w:val="002F2970"/>
    <w:rsid w:val="00321B40"/>
    <w:rsid w:val="0033595D"/>
    <w:rsid w:val="0034151D"/>
    <w:rsid w:val="00350650"/>
    <w:rsid w:val="00361CFE"/>
    <w:rsid w:val="00362E5B"/>
    <w:rsid w:val="00364150"/>
    <w:rsid w:val="00364EE3"/>
    <w:rsid w:val="00370942"/>
    <w:rsid w:val="00372E22"/>
    <w:rsid w:val="003737F3"/>
    <w:rsid w:val="00381A7F"/>
    <w:rsid w:val="00392EAA"/>
    <w:rsid w:val="003A17F3"/>
    <w:rsid w:val="003A1D6A"/>
    <w:rsid w:val="003A3100"/>
    <w:rsid w:val="003A6171"/>
    <w:rsid w:val="003A7C61"/>
    <w:rsid w:val="003B0165"/>
    <w:rsid w:val="003C17BB"/>
    <w:rsid w:val="003C291E"/>
    <w:rsid w:val="003C303A"/>
    <w:rsid w:val="003C75B7"/>
    <w:rsid w:val="003C7A57"/>
    <w:rsid w:val="003D6A2B"/>
    <w:rsid w:val="003F3539"/>
    <w:rsid w:val="003F3E00"/>
    <w:rsid w:val="003F6642"/>
    <w:rsid w:val="003F7269"/>
    <w:rsid w:val="003F7664"/>
    <w:rsid w:val="00425FD9"/>
    <w:rsid w:val="00440C42"/>
    <w:rsid w:val="00445623"/>
    <w:rsid w:val="00450646"/>
    <w:rsid w:val="00456531"/>
    <w:rsid w:val="00456C30"/>
    <w:rsid w:val="00461D23"/>
    <w:rsid w:val="004A1BB7"/>
    <w:rsid w:val="004A5501"/>
    <w:rsid w:val="004A6A5F"/>
    <w:rsid w:val="004B0BDA"/>
    <w:rsid w:val="004B0DF7"/>
    <w:rsid w:val="004C28B0"/>
    <w:rsid w:val="004C34A9"/>
    <w:rsid w:val="004E47E2"/>
    <w:rsid w:val="004F5900"/>
    <w:rsid w:val="005119AE"/>
    <w:rsid w:val="00512746"/>
    <w:rsid w:val="00514BB6"/>
    <w:rsid w:val="00522FAC"/>
    <w:rsid w:val="00527486"/>
    <w:rsid w:val="005422BE"/>
    <w:rsid w:val="00546274"/>
    <w:rsid w:val="00551803"/>
    <w:rsid w:val="00556F8C"/>
    <w:rsid w:val="00561555"/>
    <w:rsid w:val="0056272C"/>
    <w:rsid w:val="0058639F"/>
    <w:rsid w:val="005B6701"/>
    <w:rsid w:val="005C4AC9"/>
    <w:rsid w:val="005D1558"/>
    <w:rsid w:val="005D5059"/>
    <w:rsid w:val="005D5FA9"/>
    <w:rsid w:val="005E5AF3"/>
    <w:rsid w:val="005F007D"/>
    <w:rsid w:val="005F0843"/>
    <w:rsid w:val="006005DD"/>
    <w:rsid w:val="00604873"/>
    <w:rsid w:val="0061070C"/>
    <w:rsid w:val="00612FAE"/>
    <w:rsid w:val="00614283"/>
    <w:rsid w:val="00622245"/>
    <w:rsid w:val="00627AD5"/>
    <w:rsid w:val="006322AA"/>
    <w:rsid w:val="006351C9"/>
    <w:rsid w:val="006366DE"/>
    <w:rsid w:val="00640D0C"/>
    <w:rsid w:val="00650241"/>
    <w:rsid w:val="006679F9"/>
    <w:rsid w:val="0068172C"/>
    <w:rsid w:val="00682775"/>
    <w:rsid w:val="00685758"/>
    <w:rsid w:val="00685F51"/>
    <w:rsid w:val="00697C71"/>
    <w:rsid w:val="006A0BC0"/>
    <w:rsid w:val="006B2109"/>
    <w:rsid w:val="006B7FFC"/>
    <w:rsid w:val="006C6351"/>
    <w:rsid w:val="006C7716"/>
    <w:rsid w:val="006E2A19"/>
    <w:rsid w:val="006E6C1B"/>
    <w:rsid w:val="006F3428"/>
    <w:rsid w:val="006F7636"/>
    <w:rsid w:val="00702D39"/>
    <w:rsid w:val="00703CF7"/>
    <w:rsid w:val="0071044E"/>
    <w:rsid w:val="00724F63"/>
    <w:rsid w:val="00770B25"/>
    <w:rsid w:val="00786B9C"/>
    <w:rsid w:val="00795F00"/>
    <w:rsid w:val="007A1AC1"/>
    <w:rsid w:val="007C2CDF"/>
    <w:rsid w:val="007C53F5"/>
    <w:rsid w:val="007D1A98"/>
    <w:rsid w:val="007D2F8E"/>
    <w:rsid w:val="007F210A"/>
    <w:rsid w:val="007F3201"/>
    <w:rsid w:val="007F66C6"/>
    <w:rsid w:val="00804642"/>
    <w:rsid w:val="0081554C"/>
    <w:rsid w:val="00817366"/>
    <w:rsid w:val="0082384E"/>
    <w:rsid w:val="00824CFC"/>
    <w:rsid w:val="0082557C"/>
    <w:rsid w:val="00826A59"/>
    <w:rsid w:val="00836066"/>
    <w:rsid w:val="00836B45"/>
    <w:rsid w:val="00850E3B"/>
    <w:rsid w:val="0085552A"/>
    <w:rsid w:val="008622CD"/>
    <w:rsid w:val="00865AB0"/>
    <w:rsid w:val="00872270"/>
    <w:rsid w:val="00883D6B"/>
    <w:rsid w:val="00884D63"/>
    <w:rsid w:val="00885F68"/>
    <w:rsid w:val="008907DA"/>
    <w:rsid w:val="00892EA0"/>
    <w:rsid w:val="008A60D9"/>
    <w:rsid w:val="008B3A04"/>
    <w:rsid w:val="008D7424"/>
    <w:rsid w:val="008F04C2"/>
    <w:rsid w:val="008F1C9D"/>
    <w:rsid w:val="0090175A"/>
    <w:rsid w:val="00906E92"/>
    <w:rsid w:val="0091131D"/>
    <w:rsid w:val="00924212"/>
    <w:rsid w:val="009247D8"/>
    <w:rsid w:val="00940D5D"/>
    <w:rsid w:val="0094705C"/>
    <w:rsid w:val="009509A0"/>
    <w:rsid w:val="00951875"/>
    <w:rsid w:val="009610DC"/>
    <w:rsid w:val="00964CA5"/>
    <w:rsid w:val="00966738"/>
    <w:rsid w:val="00966F0A"/>
    <w:rsid w:val="00972DE1"/>
    <w:rsid w:val="0099104F"/>
    <w:rsid w:val="00992F71"/>
    <w:rsid w:val="009B0323"/>
    <w:rsid w:val="009B7F4F"/>
    <w:rsid w:val="009C29C8"/>
    <w:rsid w:val="009C7AF7"/>
    <w:rsid w:val="009C7C8E"/>
    <w:rsid w:val="009D053C"/>
    <w:rsid w:val="009D066C"/>
    <w:rsid w:val="009D0912"/>
    <w:rsid w:val="009D33D7"/>
    <w:rsid w:val="009D6C0C"/>
    <w:rsid w:val="009F0E66"/>
    <w:rsid w:val="009F3C0E"/>
    <w:rsid w:val="00A018DB"/>
    <w:rsid w:val="00A0471F"/>
    <w:rsid w:val="00A04762"/>
    <w:rsid w:val="00A0581F"/>
    <w:rsid w:val="00A0789B"/>
    <w:rsid w:val="00A07E8A"/>
    <w:rsid w:val="00A1426A"/>
    <w:rsid w:val="00A175C2"/>
    <w:rsid w:val="00A24496"/>
    <w:rsid w:val="00A25042"/>
    <w:rsid w:val="00A4102F"/>
    <w:rsid w:val="00A57BD7"/>
    <w:rsid w:val="00A75E70"/>
    <w:rsid w:val="00A80B05"/>
    <w:rsid w:val="00A86357"/>
    <w:rsid w:val="00A9309D"/>
    <w:rsid w:val="00A96E5A"/>
    <w:rsid w:val="00AB0FF0"/>
    <w:rsid w:val="00AB29D9"/>
    <w:rsid w:val="00AB3FE8"/>
    <w:rsid w:val="00AB4A19"/>
    <w:rsid w:val="00AB7AEC"/>
    <w:rsid w:val="00AC66BE"/>
    <w:rsid w:val="00AE0D94"/>
    <w:rsid w:val="00AE1180"/>
    <w:rsid w:val="00AE768B"/>
    <w:rsid w:val="00AE79A7"/>
    <w:rsid w:val="00AF1141"/>
    <w:rsid w:val="00AF5715"/>
    <w:rsid w:val="00B021BC"/>
    <w:rsid w:val="00B0759D"/>
    <w:rsid w:val="00B16202"/>
    <w:rsid w:val="00B20E3A"/>
    <w:rsid w:val="00B30BE1"/>
    <w:rsid w:val="00B327BF"/>
    <w:rsid w:val="00B40412"/>
    <w:rsid w:val="00B4454A"/>
    <w:rsid w:val="00B4544F"/>
    <w:rsid w:val="00B57BAD"/>
    <w:rsid w:val="00B6241A"/>
    <w:rsid w:val="00B62CA0"/>
    <w:rsid w:val="00B75BB1"/>
    <w:rsid w:val="00B77F75"/>
    <w:rsid w:val="00B91DC1"/>
    <w:rsid w:val="00B92199"/>
    <w:rsid w:val="00BB096E"/>
    <w:rsid w:val="00BB7947"/>
    <w:rsid w:val="00BD00D3"/>
    <w:rsid w:val="00BD2CE1"/>
    <w:rsid w:val="00BD484F"/>
    <w:rsid w:val="00BE1FC8"/>
    <w:rsid w:val="00BE3A06"/>
    <w:rsid w:val="00BE71CC"/>
    <w:rsid w:val="00BF345D"/>
    <w:rsid w:val="00BF4B7A"/>
    <w:rsid w:val="00BF5B87"/>
    <w:rsid w:val="00C01A5D"/>
    <w:rsid w:val="00C13050"/>
    <w:rsid w:val="00C15CAD"/>
    <w:rsid w:val="00C21081"/>
    <w:rsid w:val="00C23CE3"/>
    <w:rsid w:val="00C25373"/>
    <w:rsid w:val="00C27530"/>
    <w:rsid w:val="00C325B6"/>
    <w:rsid w:val="00C42C62"/>
    <w:rsid w:val="00C42F21"/>
    <w:rsid w:val="00C5190D"/>
    <w:rsid w:val="00C60E0D"/>
    <w:rsid w:val="00C83CE4"/>
    <w:rsid w:val="00C905C1"/>
    <w:rsid w:val="00C9089C"/>
    <w:rsid w:val="00C937F9"/>
    <w:rsid w:val="00C93DA0"/>
    <w:rsid w:val="00C9739C"/>
    <w:rsid w:val="00C97E4E"/>
    <w:rsid w:val="00CB2DD4"/>
    <w:rsid w:val="00CB58B3"/>
    <w:rsid w:val="00CB6195"/>
    <w:rsid w:val="00CC76C3"/>
    <w:rsid w:val="00CD32E1"/>
    <w:rsid w:val="00CE4E99"/>
    <w:rsid w:val="00D047B6"/>
    <w:rsid w:val="00D06978"/>
    <w:rsid w:val="00D10269"/>
    <w:rsid w:val="00D12381"/>
    <w:rsid w:val="00D13F0F"/>
    <w:rsid w:val="00D2023F"/>
    <w:rsid w:val="00D30C8D"/>
    <w:rsid w:val="00D342C7"/>
    <w:rsid w:val="00D37F59"/>
    <w:rsid w:val="00D47218"/>
    <w:rsid w:val="00D531C3"/>
    <w:rsid w:val="00D54D4F"/>
    <w:rsid w:val="00D7105C"/>
    <w:rsid w:val="00D7382E"/>
    <w:rsid w:val="00D81ABD"/>
    <w:rsid w:val="00D97CA2"/>
    <w:rsid w:val="00DB0EDF"/>
    <w:rsid w:val="00DB3362"/>
    <w:rsid w:val="00DB6CEA"/>
    <w:rsid w:val="00DB7F5A"/>
    <w:rsid w:val="00DD33F7"/>
    <w:rsid w:val="00DD77E8"/>
    <w:rsid w:val="00DE0C60"/>
    <w:rsid w:val="00DE22CF"/>
    <w:rsid w:val="00DF0C6A"/>
    <w:rsid w:val="00DF1269"/>
    <w:rsid w:val="00DF30A7"/>
    <w:rsid w:val="00E02C1A"/>
    <w:rsid w:val="00E02C87"/>
    <w:rsid w:val="00E07496"/>
    <w:rsid w:val="00E07955"/>
    <w:rsid w:val="00E14E02"/>
    <w:rsid w:val="00E159CD"/>
    <w:rsid w:val="00E33AD0"/>
    <w:rsid w:val="00E40DB9"/>
    <w:rsid w:val="00E42B7A"/>
    <w:rsid w:val="00E56605"/>
    <w:rsid w:val="00E668D9"/>
    <w:rsid w:val="00E76293"/>
    <w:rsid w:val="00E87D23"/>
    <w:rsid w:val="00E93C89"/>
    <w:rsid w:val="00E9474C"/>
    <w:rsid w:val="00E973FE"/>
    <w:rsid w:val="00EA668B"/>
    <w:rsid w:val="00EB49BD"/>
    <w:rsid w:val="00EB7648"/>
    <w:rsid w:val="00EC3964"/>
    <w:rsid w:val="00EC71B0"/>
    <w:rsid w:val="00EE305B"/>
    <w:rsid w:val="00EF0C7A"/>
    <w:rsid w:val="00EF3582"/>
    <w:rsid w:val="00EF51B5"/>
    <w:rsid w:val="00F026D3"/>
    <w:rsid w:val="00F07FF6"/>
    <w:rsid w:val="00F11B4A"/>
    <w:rsid w:val="00F12572"/>
    <w:rsid w:val="00F22779"/>
    <w:rsid w:val="00F23221"/>
    <w:rsid w:val="00F24B60"/>
    <w:rsid w:val="00F275F0"/>
    <w:rsid w:val="00F27618"/>
    <w:rsid w:val="00F318F7"/>
    <w:rsid w:val="00F465B9"/>
    <w:rsid w:val="00F4681C"/>
    <w:rsid w:val="00F524B1"/>
    <w:rsid w:val="00F54956"/>
    <w:rsid w:val="00F61366"/>
    <w:rsid w:val="00F61CE4"/>
    <w:rsid w:val="00F650ED"/>
    <w:rsid w:val="00F71280"/>
    <w:rsid w:val="00F714B2"/>
    <w:rsid w:val="00F75AEE"/>
    <w:rsid w:val="00F80CF6"/>
    <w:rsid w:val="00F840C8"/>
    <w:rsid w:val="00F84FF4"/>
    <w:rsid w:val="00F92A22"/>
    <w:rsid w:val="00F9493E"/>
    <w:rsid w:val="00FC25BE"/>
    <w:rsid w:val="00FC6125"/>
    <w:rsid w:val="00FD2991"/>
    <w:rsid w:val="00FD48F7"/>
    <w:rsid w:val="00FE3478"/>
    <w:rsid w:val="00FE5B96"/>
    <w:rsid w:val="00FF2DA2"/>
    <w:rsid w:val="00FF3135"/>
    <w:rsid w:val="00FF61EA"/>
    <w:rsid w:val="00FF6362"/>
    <w:rsid w:val="022512D6"/>
    <w:rsid w:val="1FEBAAAA"/>
    <w:rsid w:val="3928CD17"/>
    <w:rsid w:val="39473B4F"/>
    <w:rsid w:val="3B39FB85"/>
    <w:rsid w:val="4B0A5585"/>
    <w:rsid w:val="4B95FD9A"/>
    <w:rsid w:val="502AF07A"/>
    <w:rsid w:val="62DDD92F"/>
    <w:rsid w:val="69614953"/>
    <w:rsid w:val="6A3EB50F"/>
    <w:rsid w:val="753DDC51"/>
    <w:rsid w:val="7C319F86"/>
    <w:rsid w:val="7CD83BA4"/>
    <w:rsid w:val="7D9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AA3D7"/>
  <w15:docId w15:val="{708F537A-2D95-43E8-9786-36D977E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33AD0"/>
    <w:pPr>
      <w:numPr>
        <w:numId w:val="2"/>
      </w:numPr>
      <w:outlineLvl w:val="0"/>
    </w:pPr>
    <w:rPr>
      <w:rFonts w:ascii="Agency FB" w:hAnsi="Agency FB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A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AD0"/>
    <w:rPr>
      <w:rFonts w:ascii="Agency FB" w:hAnsi="Agency FB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8E"/>
  </w:style>
  <w:style w:type="paragraph" w:styleId="Footer">
    <w:name w:val="footer"/>
    <w:basedOn w:val="Normal"/>
    <w:link w:val="FooterChar"/>
    <w:uiPriority w:val="99"/>
    <w:unhideWhenUsed/>
    <w:rsid w:val="007D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8E"/>
  </w:style>
  <w:style w:type="character" w:styleId="CommentReference">
    <w:name w:val="annotation reference"/>
    <w:basedOn w:val="DefaultParagraphFont"/>
    <w:uiPriority w:val="99"/>
    <w:semiHidden/>
    <w:unhideWhenUsed/>
    <w:rsid w:val="00AE11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1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trinitylabanac.sharepoint.com/sites/intranet/Registry/Annual%20Programme%20Evaluation%20APE%20Data/Forms/AllItems.aspx?viewpath=%2Fsites%2Fintranet%2FRegistry%2FAnnual%20Programme%20Evaluation%20APE%20Data%2FForms%2FAllItems%2E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89DA-81F7-4AB0-9CEC-09A9235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4178</Characters>
  <Application>Microsoft Office Word</Application>
  <DocSecurity>0</DocSecurity>
  <Lines>34</Lines>
  <Paragraphs>9</Paragraphs>
  <ScaleCrop>false</ScaleCrop>
  <Company>Trinity Laban Conservatoire of Music and Dance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Nadya Miryanova</cp:lastModifiedBy>
  <cp:revision>2</cp:revision>
  <dcterms:created xsi:type="dcterms:W3CDTF">2025-08-20T16:07:00Z</dcterms:created>
  <dcterms:modified xsi:type="dcterms:W3CDTF">2025-08-20T16:07:00Z</dcterms:modified>
</cp:coreProperties>
</file>